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F7A" w:rsidRPr="00885E68" w:rsidRDefault="00667F7A" w:rsidP="00667F7A">
      <w:pPr>
        <w:rPr>
          <w:rFonts w:ascii="Arial" w:hAnsi="Arial" w:cs="Arial"/>
          <w:color w:val="000000" w:themeColor="text1"/>
          <w:sz w:val="28"/>
          <w:szCs w:val="28"/>
        </w:rPr>
      </w:pPr>
      <w:r w:rsidRPr="00885E68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667F7A" w:rsidRPr="00885E68" w:rsidRDefault="00667F7A" w:rsidP="00667F7A">
      <w:pPr>
        <w:rPr>
          <w:rFonts w:ascii="Arial" w:hAnsi="Arial" w:cs="Arial"/>
          <w:color w:val="000000" w:themeColor="text1"/>
        </w:rPr>
      </w:pPr>
    </w:p>
    <w:p w:rsidR="00B515B4" w:rsidRPr="00885E68" w:rsidRDefault="00B515B4" w:rsidP="00B515B4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885E68">
        <w:rPr>
          <w:rFonts w:ascii="Arial" w:hAnsi="Arial" w:cs="Arial"/>
          <w:b/>
          <w:color w:val="000000" w:themeColor="text1"/>
          <w:sz w:val="36"/>
          <w:szCs w:val="36"/>
        </w:rPr>
        <w:t>Percepción y realidad en seguridad pública</w:t>
      </w:r>
    </w:p>
    <w:p w:rsidR="00B515B4" w:rsidRPr="00885E68" w:rsidRDefault="00B515B4" w:rsidP="00667F7A">
      <w:pPr>
        <w:rPr>
          <w:rFonts w:ascii="Arial" w:hAnsi="Arial" w:cs="Arial"/>
          <w:color w:val="000000" w:themeColor="text1"/>
        </w:rPr>
      </w:pPr>
    </w:p>
    <w:p w:rsidR="00667F7A" w:rsidRPr="00885E68" w:rsidRDefault="00DD3263" w:rsidP="00667F7A">
      <w:pPr>
        <w:rPr>
          <w:rFonts w:ascii="Arial" w:hAnsi="Arial" w:cs="Arial"/>
          <w:b/>
          <w:color w:val="000000" w:themeColor="text1"/>
        </w:rPr>
      </w:pPr>
      <w:r w:rsidRPr="00885E68">
        <w:rPr>
          <w:rFonts w:ascii="Arial" w:hAnsi="Arial" w:cs="Arial"/>
          <w:b/>
          <w:color w:val="000000" w:themeColor="text1"/>
        </w:rPr>
        <w:t>Eduardo Ibarra Aguirre</w:t>
      </w:r>
    </w:p>
    <w:p w:rsidR="00B515B4" w:rsidRPr="00885E68" w:rsidRDefault="00B515B4" w:rsidP="00667F7A">
      <w:pPr>
        <w:rPr>
          <w:rFonts w:ascii="Arial" w:hAnsi="Arial" w:cs="Arial"/>
          <w:color w:val="000000" w:themeColor="text1"/>
        </w:rPr>
      </w:pPr>
    </w:p>
    <w:p w:rsidR="00595F13" w:rsidRPr="00885E68" w:rsidRDefault="00595F13" w:rsidP="00595F13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Desde hace una década la percepción de inseguridad entre los mexicanos mayores de edad no fue tan baja como en septiembre pasado que alcanzó 61.4%, sin duda </w:t>
      </w:r>
      <w:r w:rsidR="0058425E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todavía </w:t>
      </w:r>
      <w:r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alta, pero inferior </w:t>
      </w:r>
      <w:r w:rsidR="0058425E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r w:rsidRPr="00885E68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6B5E26" w:rsidRPr="00885E68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 registrad</w:t>
      </w:r>
      <w:r w:rsidR="006B5E26" w:rsidRPr="00885E68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 en junio de 2023, cuando el universo fue de 62.3% y no digamos a diciembre de 2018, cuando comenzó el gobierno del presidente Andrés Manuel y que 73.7% de la población consideraba insegura la ciudad donde vivía.</w:t>
      </w:r>
    </w:p>
    <w:p w:rsidR="00595F13" w:rsidRPr="00885E68" w:rsidRDefault="00595F13" w:rsidP="0064212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El dato del abatimiento más reciente en la percepción de inseguridad corresponde </w:t>
      </w:r>
      <w:r w:rsidR="009C089B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al </w:t>
      </w:r>
      <w:r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Instituto Nacional de Estadística, Geografía e Informática </w:t>
      </w:r>
      <w:r w:rsidR="0058425E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comenzó </w:t>
      </w:r>
      <w:r w:rsidR="006B5E26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en 2013 </w:t>
      </w:r>
      <w:r w:rsidRPr="00885E68">
        <w:rPr>
          <w:rFonts w:ascii="Arial" w:eastAsiaTheme="minorHAnsi" w:hAnsi="Arial" w:cs="Arial"/>
          <w:color w:val="000000" w:themeColor="text1"/>
          <w:lang w:eastAsia="en-US"/>
        </w:rPr>
        <w:t>a elaborar la Encuesta Nacional de Seguridad Pública Urbana.</w:t>
      </w:r>
    </w:p>
    <w:p w:rsidR="0058425E" w:rsidRPr="00885E68" w:rsidRDefault="00595F13" w:rsidP="0064212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Los avances en la disminución de la inseguridad en términos de percepción ciudadana son más relevantes si se </w:t>
      </w:r>
      <w:r w:rsidR="0058425E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contrasta con </w:t>
      </w:r>
      <w:r w:rsidR="002E534F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="0008224B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miserable conducta de la </w:t>
      </w:r>
      <w:r w:rsidR="002E534F" w:rsidRPr="00885E68">
        <w:rPr>
          <w:rFonts w:ascii="Arial" w:eastAsiaTheme="minorHAnsi" w:hAnsi="Arial" w:cs="Arial"/>
          <w:color w:val="000000" w:themeColor="text1"/>
          <w:lang w:eastAsia="en-US"/>
        </w:rPr>
        <w:t>dictadura mediática</w:t>
      </w:r>
      <w:r w:rsidR="0058425E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8224B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="002E534F" w:rsidRPr="00885E68">
        <w:rPr>
          <w:rFonts w:ascii="Arial" w:eastAsiaTheme="minorHAnsi" w:hAnsi="Arial" w:cs="Arial"/>
          <w:color w:val="000000" w:themeColor="text1"/>
          <w:lang w:eastAsia="en-US"/>
        </w:rPr>
        <w:t>realiza sus mejores esfuerzos</w:t>
      </w:r>
      <w:r w:rsidR="00081292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515B4" w:rsidRPr="00885E68">
        <w:rPr>
          <w:rFonts w:ascii="Arial" w:eastAsiaTheme="minorHAnsi" w:hAnsi="Arial" w:cs="Arial"/>
          <w:color w:val="000000" w:themeColor="text1"/>
          <w:lang w:eastAsia="en-US"/>
        </w:rPr>
        <w:t>para</w:t>
      </w:r>
      <w:r w:rsidR="00081292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 desinformar por todos los medios</w:t>
      </w:r>
      <w:r w:rsidR="0008224B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, géneros </w:t>
      </w:r>
      <w:r w:rsidR="00081292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y voces </w:t>
      </w:r>
      <w:r w:rsidR="0008224B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–famosas o no– </w:t>
      </w:r>
      <w:r w:rsidR="0058425E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sobre </w:t>
      </w:r>
      <w:r w:rsidR="00081292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un </w:t>
      </w:r>
      <w:r w:rsidR="0008224B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México </w:t>
      </w:r>
      <w:r w:rsidR="00081292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ingobernable en términos de inseguridad, tanto que las pantallas televisivas </w:t>
      </w:r>
      <w:r w:rsidR="0008224B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expulsan </w:t>
      </w:r>
      <w:r w:rsidR="00081292" w:rsidRPr="00885E68">
        <w:rPr>
          <w:rFonts w:ascii="Arial" w:eastAsiaTheme="minorHAnsi" w:hAnsi="Arial" w:cs="Arial"/>
          <w:color w:val="000000" w:themeColor="text1"/>
          <w:lang w:eastAsia="en-US"/>
        </w:rPr>
        <w:t>sangre</w:t>
      </w:r>
      <w:r w:rsidR="0008224B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 a borbotones</w:t>
      </w:r>
      <w:r w:rsidR="00081292" w:rsidRPr="00885E6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9468A2" w:rsidRPr="00885E68" w:rsidRDefault="0058425E" w:rsidP="0064212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85E68">
        <w:rPr>
          <w:rFonts w:ascii="Arial" w:eastAsiaTheme="minorHAnsi" w:hAnsi="Arial" w:cs="Arial"/>
          <w:color w:val="000000" w:themeColor="text1"/>
          <w:lang w:eastAsia="en-US"/>
        </w:rPr>
        <w:t>Cierto es que desde comienzos del siglo XXI los capitanes de los corporativos mediáticos descubrieron una mina</w:t>
      </w:r>
      <w:r w:rsidR="0008224B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 en la nota roja para alcanzar mayores audiencias, pero todo abuso por servir se acaba. Y quizá nunca los medios tenían tan baja credibilidad</w:t>
      </w:r>
      <w:r w:rsidR="009468A2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 como sucede hoy</w:t>
      </w:r>
      <w:r w:rsidR="0008224B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: </w:t>
      </w:r>
      <w:r w:rsidR="009468A2" w:rsidRPr="00885E68">
        <w:rPr>
          <w:rFonts w:ascii="Arial" w:eastAsiaTheme="minorHAnsi" w:hAnsi="Arial" w:cs="Arial"/>
          <w:color w:val="000000" w:themeColor="text1"/>
          <w:lang w:eastAsia="en-US"/>
        </w:rPr>
        <w:t>17% de las audiencias le creen a la televisión, 19% a la radio y 21% a los periódicos. Una catástrofe para un aparato comunicacional que fue pieza indispensable para el funcionamiento del sistema político mexicano, tan</w:t>
      </w:r>
      <w:r w:rsidR="0050724B" w:rsidRPr="00885E68">
        <w:rPr>
          <w:rFonts w:ascii="Arial" w:eastAsiaTheme="minorHAnsi" w:hAnsi="Arial" w:cs="Arial"/>
          <w:color w:val="000000" w:themeColor="text1"/>
          <w:lang w:eastAsia="en-US"/>
        </w:rPr>
        <w:t>to</w:t>
      </w:r>
      <w:r w:rsidR="00D97DEE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 q</w:t>
      </w:r>
      <w:r w:rsidR="009468A2" w:rsidRPr="00885E68">
        <w:rPr>
          <w:rFonts w:ascii="Arial" w:eastAsiaTheme="minorHAnsi" w:hAnsi="Arial" w:cs="Arial"/>
          <w:color w:val="000000" w:themeColor="text1"/>
          <w:lang w:eastAsia="en-US"/>
        </w:rPr>
        <w:t>ue presumieron que Televisa colocó a Enrique Peña en Los Pinos.</w:t>
      </w:r>
    </w:p>
    <w:p w:rsidR="00642126" w:rsidRPr="00885E68" w:rsidRDefault="00D97DEE" w:rsidP="0064212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También cierto </w:t>
      </w:r>
      <w:r w:rsidR="009C089B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es </w:t>
      </w:r>
      <w:r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que durante 2006-12, con el guerrerista Felipe Calderón </w:t>
      </w:r>
      <w:r w:rsidR="00C1776D" w:rsidRPr="00885E68">
        <w:rPr>
          <w:rFonts w:ascii="Arial" w:eastAsiaTheme="minorHAnsi" w:hAnsi="Arial" w:cs="Arial"/>
          <w:color w:val="000000" w:themeColor="text1"/>
          <w:lang w:eastAsia="en-US"/>
        </w:rPr>
        <w:t>aplicaron</w:t>
      </w:r>
      <w:r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 un pacto de silencio sobre los destrozos de</w:t>
      </w:r>
      <w:r w:rsidR="0050724B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885E68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50724B" w:rsidRPr="00885E68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50724B" w:rsidRPr="00885E68">
        <w:rPr>
          <w:rFonts w:ascii="Arial" w:eastAsiaTheme="minorHAnsi" w:hAnsi="Arial" w:cs="Arial"/>
          <w:color w:val="000000" w:themeColor="text1"/>
          <w:lang w:eastAsia="en-US"/>
        </w:rPr>
        <w:t>“guerra contra el narco”,</w:t>
      </w:r>
      <w:r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 la c</w:t>
      </w:r>
      <w:r w:rsidR="00642126" w:rsidRPr="00885E68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885E68">
        <w:rPr>
          <w:rFonts w:ascii="Arial" w:eastAsiaTheme="minorHAnsi" w:hAnsi="Arial" w:cs="Arial"/>
          <w:color w:val="000000" w:themeColor="text1"/>
          <w:lang w:eastAsia="en-US"/>
        </w:rPr>
        <w:t>nnivencia del súper policía Genaro García Luna</w:t>
      </w:r>
      <w:r w:rsidR="00642126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 con Joaquín Guzmán Loera, así como los criminales de cuello blanco afiliados al PRIAN. Pacto que se aceitó con publicidad pagada, contratos y concesiones para los Azcárraga, Salinas Pliego, Vázquez Raña</w:t>
      </w:r>
      <w:r w:rsidR="0050724B" w:rsidRPr="00885E68">
        <w:rPr>
          <w:rFonts w:ascii="Arial" w:eastAsiaTheme="minorHAnsi" w:hAnsi="Arial" w:cs="Arial"/>
          <w:color w:val="000000" w:themeColor="text1"/>
          <w:lang w:eastAsia="en-US"/>
        </w:rPr>
        <w:t>…</w:t>
      </w:r>
    </w:p>
    <w:p w:rsidR="00642126" w:rsidRPr="00885E68" w:rsidRDefault="0050724B" w:rsidP="0064212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85E68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642126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 diferencia de entonces, ahora el tema de la seguridad pública está </w:t>
      </w:r>
      <w:r w:rsidRPr="00885E68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642126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n el centro de la agenda mediática y política con la vista puesta en junio de 2024 porque es una de las asignaturas </w:t>
      </w:r>
      <w:r w:rsidR="00DD03FB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donde se acumulan más </w:t>
      </w:r>
      <w:r w:rsidR="00642126" w:rsidRPr="00885E68">
        <w:rPr>
          <w:rFonts w:ascii="Arial" w:eastAsiaTheme="minorHAnsi" w:hAnsi="Arial" w:cs="Arial"/>
          <w:color w:val="000000" w:themeColor="text1"/>
          <w:lang w:eastAsia="en-US"/>
        </w:rPr>
        <w:t>pendientes de la Cuarta Transformación o donde los resultados distan de ser los anunciados durante la campaña presidencial</w:t>
      </w:r>
      <w:r w:rsidR="00DD03FB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 por López Obrador</w:t>
      </w:r>
      <w:r w:rsidR="00642126" w:rsidRPr="00885E6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D97DEE" w:rsidRPr="00885E68" w:rsidRDefault="00DD03FB" w:rsidP="00642126">
      <w:pPr>
        <w:ind w:firstLine="708"/>
        <w:jc w:val="both"/>
        <w:rPr>
          <w:rFonts w:ascii="Arial" w:hAnsi="Arial" w:cs="Arial"/>
          <w:color w:val="000000" w:themeColor="text1"/>
        </w:rPr>
      </w:pPr>
      <w:r w:rsidRPr="00885E68">
        <w:rPr>
          <w:rFonts w:ascii="Arial" w:eastAsiaTheme="minorHAnsi" w:hAnsi="Arial" w:cs="Arial"/>
          <w:color w:val="000000" w:themeColor="text1"/>
          <w:lang w:eastAsia="en-US"/>
        </w:rPr>
        <w:t>Los avances son innegables</w:t>
      </w:r>
      <w:r w:rsidR="0050724B" w:rsidRPr="00885E68">
        <w:rPr>
          <w:rFonts w:ascii="Arial" w:eastAsiaTheme="minorHAnsi" w:hAnsi="Arial" w:cs="Arial"/>
          <w:color w:val="000000" w:themeColor="text1"/>
          <w:lang w:eastAsia="en-US"/>
        </w:rPr>
        <w:t>, s</w:t>
      </w:r>
      <w:r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ólo no los ven o no los sienten los invidentes políticos del PRIANRD y sus aliados o jefes del gran capital, del tipo de los Claudio X. González o </w:t>
      </w:r>
      <w:r w:rsidR="002A2871" w:rsidRPr="00885E68">
        <w:rPr>
          <w:rFonts w:ascii="Arial" w:hAnsi="Arial" w:cs="Arial"/>
          <w:color w:val="000000" w:themeColor="text1"/>
        </w:rPr>
        <w:t>José Antonio Fernández Carbajal (el Diablo).</w:t>
      </w:r>
    </w:p>
    <w:p w:rsidR="004B501B" w:rsidRPr="00885E68" w:rsidRDefault="002A2871" w:rsidP="004B501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85E68">
        <w:rPr>
          <w:rFonts w:ascii="Arial" w:hAnsi="Arial" w:cs="Arial"/>
          <w:color w:val="000000" w:themeColor="text1"/>
        </w:rPr>
        <w:t xml:space="preserve">Los más recientes que se dieron a conocer </w:t>
      </w:r>
      <w:r w:rsidR="00660055" w:rsidRPr="00885E68">
        <w:rPr>
          <w:rFonts w:ascii="Arial" w:hAnsi="Arial" w:cs="Arial"/>
          <w:color w:val="000000" w:themeColor="text1"/>
        </w:rPr>
        <w:t xml:space="preserve">el martes 17 </w:t>
      </w:r>
      <w:r w:rsidRPr="00885E68">
        <w:rPr>
          <w:rFonts w:ascii="Arial" w:hAnsi="Arial" w:cs="Arial"/>
          <w:color w:val="000000" w:themeColor="text1"/>
        </w:rPr>
        <w:t>en Palacio</w:t>
      </w:r>
      <w:r w:rsidR="004B501B" w:rsidRPr="00885E68">
        <w:rPr>
          <w:rFonts w:ascii="Arial" w:hAnsi="Arial" w:cs="Arial"/>
          <w:color w:val="000000" w:themeColor="text1"/>
        </w:rPr>
        <w:t>,</w:t>
      </w:r>
      <w:r w:rsidRPr="00885E68">
        <w:rPr>
          <w:rFonts w:ascii="Arial" w:hAnsi="Arial" w:cs="Arial"/>
          <w:color w:val="000000" w:themeColor="text1"/>
        </w:rPr>
        <w:t xml:space="preserve"> se r</w:t>
      </w:r>
      <w:r w:rsidR="00660055" w:rsidRPr="00885E68">
        <w:rPr>
          <w:rFonts w:ascii="Arial" w:hAnsi="Arial" w:cs="Arial"/>
          <w:color w:val="000000" w:themeColor="text1"/>
        </w:rPr>
        <w:t>e</w:t>
      </w:r>
      <w:r w:rsidRPr="00885E68">
        <w:rPr>
          <w:rFonts w:ascii="Arial" w:hAnsi="Arial" w:cs="Arial"/>
          <w:color w:val="000000" w:themeColor="text1"/>
        </w:rPr>
        <w:t>sum</w:t>
      </w:r>
      <w:r w:rsidR="0050724B" w:rsidRPr="00885E68">
        <w:rPr>
          <w:rFonts w:ascii="Arial" w:hAnsi="Arial" w:cs="Arial"/>
          <w:color w:val="000000" w:themeColor="text1"/>
        </w:rPr>
        <w:t>en</w:t>
      </w:r>
      <w:r w:rsidRPr="00885E68">
        <w:rPr>
          <w:rFonts w:ascii="Arial" w:hAnsi="Arial" w:cs="Arial"/>
          <w:color w:val="000000" w:themeColor="text1"/>
        </w:rPr>
        <w:t xml:space="preserve"> en </w:t>
      </w:r>
      <w:r w:rsidR="00660055" w:rsidRPr="00885E68">
        <w:rPr>
          <w:rFonts w:ascii="Arial" w:hAnsi="Arial" w:cs="Arial"/>
          <w:color w:val="000000" w:themeColor="text1"/>
        </w:rPr>
        <w:t>que b</w:t>
      </w:r>
      <w:r w:rsidR="00660055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ajaron 17% los homicidios dolosos en casi cinco años, </w:t>
      </w:r>
      <w:r w:rsidR="004B501B" w:rsidRPr="00885E68">
        <w:rPr>
          <w:rFonts w:ascii="Arial" w:eastAsiaTheme="minorHAnsi" w:hAnsi="Arial" w:cs="Arial"/>
          <w:color w:val="000000" w:themeColor="text1"/>
          <w:lang w:eastAsia="en-US"/>
        </w:rPr>
        <w:t>pero en septiembre hubo 40 más que en agosto. E</w:t>
      </w:r>
      <w:r w:rsidR="00660055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n tanto que los feminicidios </w:t>
      </w:r>
      <w:r w:rsidR="0050724B" w:rsidRPr="00885E68">
        <w:rPr>
          <w:rFonts w:ascii="Arial" w:eastAsiaTheme="minorHAnsi" w:hAnsi="Arial" w:cs="Arial"/>
          <w:color w:val="000000" w:themeColor="text1"/>
          <w:lang w:eastAsia="en-US"/>
        </w:rPr>
        <w:t>disminuyeron</w:t>
      </w:r>
      <w:r w:rsidR="00660055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660055" w:rsidRPr="00885E68">
        <w:rPr>
          <w:rFonts w:ascii="Arial" w:eastAsiaTheme="minorHAnsi" w:hAnsi="Arial" w:cs="Arial"/>
          <w:color w:val="000000" w:themeColor="text1"/>
          <w:lang w:eastAsia="en-US"/>
        </w:rPr>
        <w:lastRenderedPageBreak/>
        <w:t>49.5%</w:t>
      </w:r>
      <w:r w:rsidR="004B501B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, pero el feminismo anti 4T no lo comparte. El secuestro </w:t>
      </w:r>
      <w:r w:rsidR="00E2775A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bajó </w:t>
      </w:r>
      <w:r w:rsidR="004B501B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75% en septiembre </w:t>
      </w:r>
      <w:r w:rsidR="009F27B5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="004B501B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relación con enero de 2019, al pasar de 161 a 40, pero María Elena Morera e Isabel Miranda </w:t>
      </w:r>
      <w:r w:rsidR="009F27B5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Torres </w:t>
      </w:r>
      <w:r w:rsidR="004B501B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juran todo lo contrario, como es de esperarse de dos </w:t>
      </w:r>
      <w:r w:rsidR="009F27B5" w:rsidRPr="00885E68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4B501B" w:rsidRPr="00885E68">
        <w:rPr>
          <w:rFonts w:ascii="Arial" w:eastAsiaTheme="minorHAnsi" w:hAnsi="Arial" w:cs="Arial"/>
          <w:color w:val="000000" w:themeColor="text1"/>
          <w:lang w:eastAsia="en-US"/>
        </w:rPr>
        <w:t>distinguidas amigas</w:t>
      </w:r>
      <w:r w:rsidR="009F27B5" w:rsidRPr="00885E68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4B501B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 de García Luna, el protector de Guzmán Loera.</w:t>
      </w:r>
    </w:p>
    <w:p w:rsidR="009F27B5" w:rsidRPr="00885E68" w:rsidRDefault="004B501B" w:rsidP="004B501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85E68">
        <w:rPr>
          <w:rFonts w:ascii="Arial" w:eastAsiaTheme="minorHAnsi" w:hAnsi="Arial" w:cs="Arial"/>
          <w:color w:val="000000" w:themeColor="text1"/>
          <w:lang w:eastAsia="en-US"/>
        </w:rPr>
        <w:t>En cualquier caso los informes catorcenales –que AMLO llama quincenales</w:t>
      </w:r>
      <w:r w:rsidR="009F27B5" w:rsidRPr="00885E68">
        <w:rPr>
          <w:rFonts w:ascii="Arial" w:eastAsiaTheme="minorHAnsi" w:hAnsi="Arial" w:cs="Arial"/>
          <w:color w:val="000000" w:themeColor="text1"/>
          <w:lang w:eastAsia="en-US"/>
        </w:rPr>
        <w:t>, igual que la semana de ocho días–</w:t>
      </w:r>
      <w:r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 sobre </w:t>
      </w:r>
      <w:r w:rsidR="00E2775A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Pr="00885E68">
        <w:rPr>
          <w:rFonts w:ascii="Arial" w:eastAsiaTheme="minorHAnsi" w:hAnsi="Arial" w:cs="Arial"/>
          <w:color w:val="000000" w:themeColor="text1"/>
          <w:lang w:eastAsia="en-US"/>
        </w:rPr>
        <w:t>seguridad pública</w:t>
      </w:r>
      <w:r w:rsidR="009F27B5" w:rsidRPr="00885E68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 requieren</w:t>
      </w:r>
      <w:r w:rsidR="009F27B5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 menos abundancia de cifras, más contexto y explicaciones</w:t>
      </w:r>
      <w:r w:rsidR="00E2775A" w:rsidRPr="00885E68">
        <w:rPr>
          <w:rFonts w:ascii="Arial" w:eastAsiaTheme="minorHAnsi" w:hAnsi="Arial" w:cs="Arial"/>
          <w:color w:val="000000" w:themeColor="text1"/>
          <w:lang w:eastAsia="en-US"/>
        </w:rPr>
        <w:t>;</w:t>
      </w:r>
      <w:r w:rsidR="009F27B5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 menos comparativos con enero de 20018 y más con </w:t>
      </w:r>
      <w:r w:rsidR="00E2775A" w:rsidRPr="00885E68">
        <w:rPr>
          <w:rFonts w:ascii="Arial" w:eastAsiaTheme="minorHAnsi" w:hAnsi="Arial" w:cs="Arial"/>
          <w:color w:val="000000" w:themeColor="text1"/>
          <w:lang w:eastAsia="en-US"/>
        </w:rPr>
        <w:t xml:space="preserve">la quincena o </w:t>
      </w:r>
      <w:r w:rsidR="009F27B5" w:rsidRPr="00885E68">
        <w:rPr>
          <w:rFonts w:ascii="Arial" w:eastAsiaTheme="minorHAnsi" w:hAnsi="Arial" w:cs="Arial"/>
          <w:color w:val="000000" w:themeColor="text1"/>
          <w:lang w:eastAsia="en-US"/>
        </w:rPr>
        <w:t>el mes anterior</w:t>
      </w:r>
      <w:r w:rsidR="00885E68" w:rsidRPr="00885E68">
        <w:rPr>
          <w:rFonts w:ascii="Arial" w:eastAsiaTheme="minorHAnsi" w:hAnsi="Arial" w:cs="Arial"/>
          <w:color w:val="000000" w:themeColor="text1"/>
          <w:lang w:eastAsia="en-US"/>
        </w:rPr>
        <w:t>es</w:t>
      </w:r>
      <w:r w:rsidR="009F27B5" w:rsidRPr="00885E68">
        <w:rPr>
          <w:rFonts w:ascii="Arial" w:eastAsiaTheme="minorHAnsi" w:hAnsi="Arial" w:cs="Arial"/>
          <w:color w:val="000000" w:themeColor="text1"/>
          <w:lang w:eastAsia="en-US"/>
        </w:rPr>
        <w:t>. Y cuando se producen retrocesos es preciso explicarlos para que la percepción ciudadana se corresponda un poco más con la realidad y menos con la manipulación mediática.</w:t>
      </w:r>
    </w:p>
    <w:p w:rsidR="00667F7A" w:rsidRPr="00885E68" w:rsidRDefault="00667F7A" w:rsidP="00B515B4">
      <w:pPr>
        <w:ind w:firstLine="708"/>
        <w:jc w:val="center"/>
        <w:rPr>
          <w:rFonts w:ascii="Arial" w:hAnsi="Arial" w:cs="Arial"/>
          <w:i/>
          <w:color w:val="000000" w:themeColor="text1"/>
        </w:rPr>
      </w:pPr>
      <w:r w:rsidRPr="00885E68">
        <w:rPr>
          <w:rFonts w:ascii="Arial" w:hAnsi="Arial" w:cs="Arial"/>
          <w:b/>
          <w:color w:val="000000" w:themeColor="text1"/>
        </w:rPr>
        <w:t>Acuse de recibo</w:t>
      </w:r>
    </w:p>
    <w:p w:rsidR="00667F7A" w:rsidRPr="00885E68" w:rsidRDefault="00667F7A" w:rsidP="00667F7A">
      <w:pPr>
        <w:jc w:val="both"/>
        <w:rPr>
          <w:rFonts w:ascii="Arial" w:hAnsi="Arial" w:cs="Arial"/>
          <w:b/>
          <w:color w:val="000000" w:themeColor="text1"/>
        </w:rPr>
      </w:pPr>
      <w:r w:rsidRPr="00885E68">
        <w:rPr>
          <w:rFonts w:ascii="Arial" w:hAnsi="Arial" w:cs="Arial"/>
          <w:color w:val="000000" w:themeColor="text1"/>
        </w:rPr>
        <w:t>“Mi estimado Ibarra, me gustaría saber la opinión de la embajadora judía acerca de ‘I</w:t>
      </w:r>
      <w:r w:rsidRPr="00885E68">
        <w:rPr>
          <w:rFonts w:ascii="Arial" w:hAnsi="Arial" w:cs="Arial"/>
          <w:bCs/>
          <w:color w:val="000000" w:themeColor="text1"/>
        </w:rPr>
        <w:t>ndignación en países árabes por el bombardeo al hospital el j</w:t>
      </w:r>
      <w:r w:rsidRPr="00885E68">
        <w:rPr>
          <w:rFonts w:ascii="Arial" w:hAnsi="Arial" w:cs="Arial"/>
          <w:color w:val="000000" w:themeColor="text1"/>
        </w:rPr>
        <w:t>ueves 19 de octubre de 2023. Beirut. Miles de manifestantes en países árabes se volcaron ayer a las calles para expresar su indignación por el bombardeo que dejó cientos de muertos en un hospital de Gaza. Grandes concentraciones tuvieron lugar en Amán, Túnez, Beirut, Damasco y otras capitales después de la tragedia que dejó al menos 471 decesos y provocó llamad</w:t>
      </w:r>
      <w:r w:rsidR="00E2775A" w:rsidRPr="00885E68">
        <w:rPr>
          <w:rFonts w:ascii="Arial" w:hAnsi="Arial" w:cs="Arial"/>
          <w:color w:val="000000" w:themeColor="text1"/>
        </w:rPr>
        <w:t>o</w:t>
      </w:r>
      <w:r w:rsidRPr="00885E68">
        <w:rPr>
          <w:rFonts w:ascii="Arial" w:hAnsi="Arial" w:cs="Arial"/>
          <w:color w:val="000000" w:themeColor="text1"/>
        </w:rPr>
        <w:t xml:space="preserve">s a un día de furia en el mundo árabe.’” La </w:t>
      </w:r>
      <w:r w:rsidR="00885E68" w:rsidRPr="00885E68">
        <w:rPr>
          <w:rFonts w:ascii="Arial" w:hAnsi="Arial" w:cs="Arial"/>
          <w:color w:val="000000" w:themeColor="text1"/>
        </w:rPr>
        <w:t>solicitud</w:t>
      </w:r>
      <w:r w:rsidRPr="00885E68">
        <w:rPr>
          <w:rFonts w:ascii="Arial" w:hAnsi="Arial" w:cs="Arial"/>
          <w:color w:val="000000" w:themeColor="text1"/>
        </w:rPr>
        <w:t xml:space="preserve"> para la injerencista embajadora </w:t>
      </w:r>
      <w:proofErr w:type="spellStart"/>
      <w:r w:rsidRPr="00885E68">
        <w:rPr>
          <w:rFonts w:ascii="Arial" w:hAnsi="Arial" w:cs="Arial"/>
          <w:color w:val="000000" w:themeColor="text1"/>
        </w:rPr>
        <w:t>Einat</w:t>
      </w:r>
      <w:proofErr w:type="spellEnd"/>
      <w:r w:rsidRPr="00885E68">
        <w:rPr>
          <w:rFonts w:ascii="Arial" w:hAnsi="Arial" w:cs="Arial"/>
          <w:color w:val="000000" w:themeColor="text1"/>
        </w:rPr>
        <w:t xml:space="preserve"> </w:t>
      </w:r>
      <w:proofErr w:type="spellStart"/>
      <w:r w:rsidRPr="00885E68">
        <w:rPr>
          <w:rFonts w:ascii="Arial" w:hAnsi="Arial" w:cs="Arial"/>
          <w:color w:val="000000" w:themeColor="text1"/>
        </w:rPr>
        <w:t>Kranz</w:t>
      </w:r>
      <w:proofErr w:type="spellEnd"/>
      <w:r w:rsidRPr="00885E68">
        <w:rPr>
          <w:rFonts w:ascii="Arial" w:hAnsi="Arial" w:cs="Arial"/>
          <w:color w:val="000000" w:themeColor="text1"/>
        </w:rPr>
        <w:t xml:space="preserve"> </w:t>
      </w:r>
      <w:proofErr w:type="spellStart"/>
      <w:r w:rsidRPr="00885E68">
        <w:rPr>
          <w:rFonts w:ascii="Arial" w:hAnsi="Arial" w:cs="Arial"/>
          <w:color w:val="000000" w:themeColor="text1"/>
        </w:rPr>
        <w:t>Neiger</w:t>
      </w:r>
      <w:proofErr w:type="spellEnd"/>
      <w:r w:rsidRPr="00885E68">
        <w:rPr>
          <w:rFonts w:ascii="Arial" w:hAnsi="Arial" w:cs="Arial"/>
          <w:color w:val="000000" w:themeColor="text1"/>
        </w:rPr>
        <w:t>, es de Moisés Edwin Barreda… Pésima coartada del criminal ejército israelí, sobre todo de sus man</w:t>
      </w:r>
      <w:r w:rsidR="00E2775A" w:rsidRPr="00885E68">
        <w:rPr>
          <w:rFonts w:ascii="Arial" w:hAnsi="Arial" w:cs="Arial"/>
          <w:color w:val="000000" w:themeColor="text1"/>
        </w:rPr>
        <w:t>d</w:t>
      </w:r>
      <w:r w:rsidRPr="00885E68">
        <w:rPr>
          <w:rFonts w:ascii="Arial" w:hAnsi="Arial" w:cs="Arial"/>
          <w:color w:val="000000" w:themeColor="text1"/>
        </w:rPr>
        <w:t xml:space="preserve">os civiles y castrenses, encabezados por </w:t>
      </w:r>
      <w:proofErr w:type="spellStart"/>
      <w:r w:rsidRPr="00885E68">
        <w:rPr>
          <w:rFonts w:ascii="Arial" w:hAnsi="Arial" w:cs="Arial"/>
          <w:color w:val="000000" w:themeColor="text1"/>
        </w:rPr>
        <w:t>Benjamin</w:t>
      </w:r>
      <w:proofErr w:type="spellEnd"/>
      <w:r w:rsidRPr="00885E68">
        <w:rPr>
          <w:rFonts w:ascii="Arial" w:hAnsi="Arial" w:cs="Arial"/>
          <w:color w:val="000000" w:themeColor="text1"/>
        </w:rPr>
        <w:t xml:space="preserve"> Netanyahu, para justificar delitos de lesa humanidad, el asesinato de niños: </w:t>
      </w:r>
      <w:r w:rsidRPr="00885E68">
        <w:rPr>
          <w:rStyle w:val="Textoennegrita"/>
          <w:rFonts w:ascii="Arial" w:hAnsi="Arial" w:cs="Arial"/>
          <w:b w:val="0"/>
          <w:color w:val="000000" w:themeColor="text1"/>
        </w:rPr>
        <w:t>“Una quinta parte de los cohetes disparados por Ham</w:t>
      </w:r>
      <w:r w:rsidR="00885E68" w:rsidRPr="00885E68">
        <w:rPr>
          <w:rStyle w:val="Textoennegrita"/>
          <w:rFonts w:ascii="Arial" w:hAnsi="Arial" w:cs="Arial"/>
          <w:b w:val="0"/>
          <w:color w:val="000000" w:themeColor="text1"/>
        </w:rPr>
        <w:t>a</w:t>
      </w:r>
      <w:r w:rsidRPr="00885E68">
        <w:rPr>
          <w:rStyle w:val="Textoennegrita"/>
          <w:rFonts w:ascii="Arial" w:hAnsi="Arial" w:cs="Arial"/>
          <w:b w:val="0"/>
          <w:color w:val="000000" w:themeColor="text1"/>
        </w:rPr>
        <w:t xml:space="preserve">s y la Yihad Islámica Palestina fallan, caen dentro de Gaza y matan a civiles, dio a conocer este sábado el portavoz de las FDI”… Texto de la periodista Teresa Gil </w:t>
      </w:r>
      <w:hyperlink r:id="rId4" w:tooltip="https://analisisafondo.com/110371/ninos-de-gaza-y-aquellos-de-morelia/" w:history="1">
        <w:r w:rsidRPr="00885E68">
          <w:rPr>
            <w:rStyle w:val="Hipervnculo"/>
            <w:rFonts w:ascii="Arial" w:hAnsi="Arial" w:cs="Arial"/>
            <w:color w:val="000000" w:themeColor="text1"/>
          </w:rPr>
          <w:t>https://analisisafondo.com/110371/ninos-de-gaza-y-aquellos-de-morelia/</w:t>
        </w:r>
      </w:hyperlink>
      <w:r w:rsidRPr="00885E68">
        <w:rPr>
          <w:rFonts w:ascii="Arial" w:hAnsi="Arial" w:cs="Arial"/>
          <w:color w:val="000000" w:themeColor="text1"/>
        </w:rPr>
        <w:t xml:space="preserve"> (…) “Mil Gracias tocayo, mil gracias”, dice el profesor e investigador de derecho constitucional</w:t>
      </w:r>
      <w:r w:rsidR="00E2775A" w:rsidRPr="00885E68">
        <w:rPr>
          <w:rFonts w:ascii="Arial" w:hAnsi="Arial" w:cs="Arial"/>
          <w:color w:val="000000" w:themeColor="text1"/>
        </w:rPr>
        <w:t xml:space="preserve"> y penal</w:t>
      </w:r>
      <w:r w:rsidRPr="00885E68">
        <w:rPr>
          <w:rFonts w:ascii="Arial" w:hAnsi="Arial" w:cs="Arial"/>
          <w:color w:val="000000" w:themeColor="text1"/>
        </w:rPr>
        <w:t xml:space="preserve">, Eduardo López Betancourt, exonerado por el Séptimo Tribunal Colegiado en Materia Penal de Primer Circuito, de </w:t>
      </w:r>
      <w:r w:rsidR="00885E68" w:rsidRPr="00885E68">
        <w:rPr>
          <w:rFonts w:ascii="Arial" w:hAnsi="Arial" w:cs="Arial"/>
          <w:color w:val="000000" w:themeColor="text1"/>
        </w:rPr>
        <w:t>“</w:t>
      </w:r>
      <w:r w:rsidRPr="00885E68">
        <w:rPr>
          <w:rFonts w:ascii="Arial" w:hAnsi="Arial" w:cs="Arial"/>
          <w:color w:val="000000" w:themeColor="text1"/>
        </w:rPr>
        <w:t xml:space="preserve">las infamias de que fue víctima”. </w:t>
      </w:r>
    </w:p>
    <w:p w:rsidR="00667F7A" w:rsidRPr="00885E68" w:rsidRDefault="00E84435" w:rsidP="00667F7A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5" w:history="1">
        <w:r w:rsidR="00667F7A" w:rsidRPr="00885E6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</w:t>
        </w:r>
        <w:bookmarkStart w:id="0" w:name="_GoBack"/>
        <w:bookmarkEnd w:id="0"/>
        <w:r w:rsidR="00667F7A" w:rsidRPr="00885E6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com/</w:t>
        </w:r>
      </w:hyperlink>
      <w:r w:rsidR="00667F7A" w:rsidRPr="00885E68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667F7A" w:rsidRPr="00885E6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667F7A" w:rsidRPr="00885E68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proofErr w:type="spellStart"/>
      <w:r w:rsidR="00667F7A" w:rsidRPr="00885E68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667F7A" w:rsidRPr="00885E6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F7A"/>
    <w:rsid w:val="00081292"/>
    <w:rsid w:val="0008224B"/>
    <w:rsid w:val="002A2871"/>
    <w:rsid w:val="002E534F"/>
    <w:rsid w:val="003A2F85"/>
    <w:rsid w:val="004B501B"/>
    <w:rsid w:val="0050724B"/>
    <w:rsid w:val="0058425E"/>
    <w:rsid w:val="00595F13"/>
    <w:rsid w:val="00642126"/>
    <w:rsid w:val="00660055"/>
    <w:rsid w:val="00667F7A"/>
    <w:rsid w:val="006B5E26"/>
    <w:rsid w:val="00885E68"/>
    <w:rsid w:val="009468A2"/>
    <w:rsid w:val="009C089B"/>
    <w:rsid w:val="009F27B5"/>
    <w:rsid w:val="00B515B4"/>
    <w:rsid w:val="00C1776D"/>
    <w:rsid w:val="00D97DEE"/>
    <w:rsid w:val="00DA129E"/>
    <w:rsid w:val="00DD03FB"/>
    <w:rsid w:val="00DD3263"/>
    <w:rsid w:val="00E2775A"/>
    <w:rsid w:val="00E84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41861A-9E0F-4952-978E-C9DB845DA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7F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667F7A"/>
    <w:rPr>
      <w:color w:val="0563C1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667F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s://analisisafondo.com/110371/ninos-de-gaza-y-aquellos-de-morelia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826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17</cp:revision>
  <dcterms:created xsi:type="dcterms:W3CDTF">2023-10-22T13:54:00Z</dcterms:created>
  <dcterms:modified xsi:type="dcterms:W3CDTF">2023-10-26T02:37:00Z</dcterms:modified>
</cp:coreProperties>
</file>