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116" w:rsidRPr="0001726C" w:rsidRDefault="001B7116" w:rsidP="001B7116">
      <w:pPr>
        <w:spacing w:after="0" w:line="240" w:lineRule="auto"/>
        <w:jc w:val="both"/>
        <w:rPr>
          <w:rFonts w:ascii="Arial" w:hAnsi="Arial" w:cs="Arial"/>
          <w:color w:val="000000" w:themeColor="text1"/>
          <w:sz w:val="28"/>
          <w:szCs w:val="28"/>
        </w:rPr>
      </w:pPr>
      <w:r w:rsidRPr="0001726C">
        <w:rPr>
          <w:rFonts w:ascii="Arial" w:hAnsi="Arial" w:cs="Arial"/>
          <w:color w:val="000000" w:themeColor="text1"/>
          <w:sz w:val="28"/>
          <w:szCs w:val="28"/>
        </w:rPr>
        <w:t>Utopía</w:t>
      </w:r>
    </w:p>
    <w:p w:rsidR="001B7116" w:rsidRPr="0001726C" w:rsidRDefault="001B7116" w:rsidP="001B7116">
      <w:pPr>
        <w:spacing w:after="0" w:line="240" w:lineRule="auto"/>
        <w:jc w:val="both"/>
        <w:rPr>
          <w:rFonts w:ascii="Arial" w:hAnsi="Arial" w:cs="Arial"/>
          <w:color w:val="000000" w:themeColor="text1"/>
          <w:sz w:val="24"/>
          <w:szCs w:val="24"/>
        </w:rPr>
      </w:pPr>
    </w:p>
    <w:p w:rsidR="001B7116" w:rsidRPr="0001726C" w:rsidRDefault="002B3413" w:rsidP="002B3413">
      <w:pPr>
        <w:spacing w:after="0" w:line="240" w:lineRule="auto"/>
        <w:jc w:val="center"/>
        <w:rPr>
          <w:rFonts w:ascii="Arial" w:hAnsi="Arial" w:cs="Arial"/>
          <w:b/>
          <w:color w:val="000000" w:themeColor="text1"/>
          <w:sz w:val="36"/>
          <w:szCs w:val="36"/>
        </w:rPr>
      </w:pPr>
      <w:r w:rsidRPr="0001726C">
        <w:rPr>
          <w:rFonts w:ascii="Arial" w:hAnsi="Arial" w:cs="Arial"/>
          <w:b/>
          <w:color w:val="000000" w:themeColor="text1"/>
          <w:sz w:val="36"/>
          <w:szCs w:val="36"/>
        </w:rPr>
        <w:t>Jueces obstruyen a la UIF desde 2014</w:t>
      </w:r>
    </w:p>
    <w:p w:rsidR="001B7116" w:rsidRPr="0001726C" w:rsidRDefault="001B7116" w:rsidP="001B7116">
      <w:pPr>
        <w:spacing w:after="0" w:line="240" w:lineRule="auto"/>
        <w:jc w:val="both"/>
        <w:rPr>
          <w:rFonts w:ascii="Arial" w:hAnsi="Arial" w:cs="Arial"/>
          <w:color w:val="000000" w:themeColor="text1"/>
          <w:sz w:val="24"/>
          <w:szCs w:val="24"/>
        </w:rPr>
      </w:pPr>
    </w:p>
    <w:p w:rsidR="001B7116" w:rsidRPr="0001726C" w:rsidRDefault="001B7116" w:rsidP="001B7116">
      <w:pPr>
        <w:spacing w:after="0" w:line="240" w:lineRule="auto"/>
        <w:jc w:val="both"/>
        <w:rPr>
          <w:rFonts w:ascii="Arial" w:hAnsi="Arial" w:cs="Arial"/>
          <w:b/>
          <w:color w:val="000000" w:themeColor="text1"/>
          <w:sz w:val="24"/>
          <w:szCs w:val="24"/>
        </w:rPr>
      </w:pPr>
      <w:r w:rsidRPr="0001726C">
        <w:rPr>
          <w:rFonts w:ascii="Arial" w:hAnsi="Arial" w:cs="Arial"/>
          <w:b/>
          <w:color w:val="000000" w:themeColor="text1"/>
          <w:sz w:val="24"/>
          <w:szCs w:val="24"/>
        </w:rPr>
        <w:t>Eduardo Ibarra Aguirre</w:t>
      </w:r>
    </w:p>
    <w:p w:rsidR="001B7116" w:rsidRPr="0001726C" w:rsidRDefault="001B7116" w:rsidP="001B7116">
      <w:pPr>
        <w:spacing w:after="0" w:line="240" w:lineRule="auto"/>
        <w:jc w:val="both"/>
        <w:rPr>
          <w:rFonts w:ascii="Arial" w:hAnsi="Arial" w:cs="Arial"/>
          <w:color w:val="000000" w:themeColor="text1"/>
          <w:sz w:val="24"/>
          <w:szCs w:val="24"/>
        </w:rPr>
      </w:pPr>
    </w:p>
    <w:p w:rsidR="00900557" w:rsidRPr="0001726C" w:rsidRDefault="00900557" w:rsidP="00900557">
      <w:pPr>
        <w:spacing w:after="0" w:line="240" w:lineRule="auto"/>
        <w:jc w:val="both"/>
        <w:rPr>
          <w:rFonts w:ascii="Arial" w:hAnsi="Arial" w:cs="Arial"/>
          <w:color w:val="000000" w:themeColor="text1"/>
          <w:sz w:val="24"/>
          <w:szCs w:val="24"/>
        </w:rPr>
      </w:pPr>
      <w:r w:rsidRPr="0001726C">
        <w:rPr>
          <w:rFonts w:ascii="Arial" w:hAnsi="Arial" w:cs="Arial"/>
          <w:color w:val="000000" w:themeColor="text1"/>
          <w:sz w:val="24"/>
          <w:szCs w:val="24"/>
        </w:rPr>
        <w:t>De los 39 055 millones de pesos que la Unidad de Inteligencia Financiera, de la Secretaría de Hacienda</w:t>
      </w:r>
      <w:r w:rsidR="005E1EE6" w:rsidRPr="0001726C">
        <w:rPr>
          <w:rFonts w:ascii="Arial" w:hAnsi="Arial" w:cs="Arial"/>
          <w:color w:val="000000" w:themeColor="text1"/>
          <w:sz w:val="24"/>
          <w:szCs w:val="24"/>
        </w:rPr>
        <w:t xml:space="preserve"> y Crédito Público,</w:t>
      </w:r>
      <w:r w:rsidRPr="0001726C">
        <w:rPr>
          <w:rFonts w:ascii="Arial" w:hAnsi="Arial" w:cs="Arial"/>
          <w:color w:val="000000" w:themeColor="text1"/>
          <w:sz w:val="24"/>
          <w:szCs w:val="24"/>
        </w:rPr>
        <w:t xml:space="preserve"> ordenó bloquear durante </w:t>
      </w:r>
      <w:r w:rsidR="006466B1" w:rsidRPr="0001726C">
        <w:rPr>
          <w:rFonts w:ascii="Arial" w:hAnsi="Arial" w:cs="Arial"/>
          <w:color w:val="000000" w:themeColor="text1"/>
          <w:sz w:val="24"/>
          <w:szCs w:val="24"/>
        </w:rPr>
        <w:t xml:space="preserve">casi una </w:t>
      </w:r>
      <w:r w:rsidRPr="0001726C">
        <w:rPr>
          <w:rFonts w:ascii="Arial" w:hAnsi="Arial" w:cs="Arial"/>
          <w:color w:val="000000" w:themeColor="text1"/>
          <w:sz w:val="24"/>
          <w:szCs w:val="24"/>
        </w:rPr>
        <w:t>década como medida cautelar, el 88.9% fue recuperado en los tribunales, principalmente a través de amparos. De ese gran total que se congeló desde 2014 a usuarios del sistema financiero para prevenir y detectar actos relacionados con el financiamiento al terrorismo y operaciones con recursos de procedencia ilícita, sólo 4 350 millones de pesos siguen inmovilizados.</w:t>
      </w:r>
    </w:p>
    <w:p w:rsidR="00900557" w:rsidRPr="0001726C" w:rsidRDefault="00900557" w:rsidP="005E1EE6">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De acuerdo con</w:t>
      </w:r>
      <w:r w:rsidR="005E1EE6" w:rsidRPr="0001726C">
        <w:rPr>
          <w:rFonts w:ascii="Arial" w:hAnsi="Arial" w:cs="Arial"/>
          <w:color w:val="000000" w:themeColor="text1"/>
          <w:sz w:val="24"/>
          <w:szCs w:val="24"/>
        </w:rPr>
        <w:t xml:space="preserve"> </w:t>
      </w:r>
      <w:r w:rsidR="00A67CB5" w:rsidRPr="0001726C">
        <w:rPr>
          <w:rFonts w:ascii="Arial" w:hAnsi="Arial" w:cs="Arial"/>
          <w:color w:val="000000" w:themeColor="text1"/>
          <w:sz w:val="24"/>
          <w:szCs w:val="24"/>
        </w:rPr>
        <w:t xml:space="preserve">la </w:t>
      </w:r>
      <w:r w:rsidRPr="0001726C">
        <w:rPr>
          <w:rFonts w:ascii="Arial" w:hAnsi="Arial" w:cs="Arial"/>
          <w:color w:val="000000" w:themeColor="text1"/>
          <w:sz w:val="24"/>
          <w:szCs w:val="24"/>
        </w:rPr>
        <w:t>información oficial fueron recuperados en instancias judiciales, nueve de cada 10 pesos que bloqueó la UIF por investigaciones en temas como fraude, defraudación fiscal, delitos contra la salud, delincuencia organizada y delitos en materia de hidrocarburos, petrolíferos o petroquímicos. También ejercicio ilícito del servicio público</w:t>
      </w:r>
      <w:r w:rsidR="005E1EE6" w:rsidRPr="0001726C">
        <w:rPr>
          <w:rFonts w:ascii="Arial" w:hAnsi="Arial" w:cs="Arial"/>
          <w:color w:val="000000" w:themeColor="text1"/>
          <w:sz w:val="24"/>
          <w:szCs w:val="24"/>
        </w:rPr>
        <w:t>,</w:t>
      </w:r>
      <w:r w:rsidRPr="0001726C">
        <w:rPr>
          <w:rFonts w:ascii="Arial" w:hAnsi="Arial" w:cs="Arial"/>
          <w:color w:val="000000" w:themeColor="text1"/>
          <w:sz w:val="24"/>
          <w:szCs w:val="24"/>
        </w:rPr>
        <w:t xml:space="preserve"> operaciones con recursos de procedencia ilícita y extorsión</w:t>
      </w:r>
      <w:r w:rsidR="007462CA" w:rsidRPr="0001726C">
        <w:rPr>
          <w:rFonts w:ascii="Arial" w:hAnsi="Arial" w:cs="Arial"/>
          <w:color w:val="000000" w:themeColor="text1"/>
          <w:sz w:val="24"/>
          <w:szCs w:val="24"/>
        </w:rPr>
        <w:t>.</w:t>
      </w:r>
    </w:p>
    <w:p w:rsidR="00900557" w:rsidRPr="0001726C" w:rsidRDefault="00900557" w:rsidP="006466B1">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En total, de los 34 705 millones de pesos que se desbloquea</w:t>
      </w:r>
      <w:r w:rsidR="006466B1" w:rsidRPr="0001726C">
        <w:rPr>
          <w:rFonts w:ascii="Arial" w:hAnsi="Arial" w:cs="Arial"/>
          <w:color w:val="000000" w:themeColor="text1"/>
          <w:sz w:val="24"/>
          <w:szCs w:val="24"/>
        </w:rPr>
        <w:t>ron</w:t>
      </w:r>
      <w:r w:rsidRPr="0001726C">
        <w:rPr>
          <w:rFonts w:ascii="Arial" w:hAnsi="Arial" w:cs="Arial"/>
          <w:color w:val="000000" w:themeColor="text1"/>
          <w:sz w:val="24"/>
          <w:szCs w:val="24"/>
        </w:rPr>
        <w:t xml:space="preserve"> en casi una década, 9 303 millones de pesos (26.8%) fueron mediante garantía de audiencia; 25 119 millones (72.4%) mediante juicios de amparo y 281 millones (0.8%) liberados en 2017, 2018 y 2020 </w:t>
      </w:r>
      <w:r w:rsidR="0071065F" w:rsidRPr="0001726C">
        <w:rPr>
          <w:rFonts w:ascii="Arial" w:hAnsi="Arial" w:cs="Arial"/>
          <w:color w:val="000000" w:themeColor="text1"/>
          <w:sz w:val="24"/>
          <w:szCs w:val="24"/>
        </w:rPr>
        <w:t>aún no está</w:t>
      </w:r>
      <w:r w:rsidRPr="0001726C">
        <w:rPr>
          <w:rFonts w:ascii="Arial" w:hAnsi="Arial" w:cs="Arial"/>
          <w:color w:val="000000" w:themeColor="text1"/>
          <w:sz w:val="24"/>
          <w:szCs w:val="24"/>
        </w:rPr>
        <w:t xml:space="preserve"> identificado bajo qué mecanismo fueron </w:t>
      </w:r>
      <w:r w:rsidR="00A67CB5" w:rsidRPr="0001726C">
        <w:rPr>
          <w:rFonts w:ascii="Arial" w:hAnsi="Arial" w:cs="Arial"/>
          <w:color w:val="000000" w:themeColor="text1"/>
          <w:sz w:val="24"/>
          <w:szCs w:val="24"/>
        </w:rPr>
        <w:t>“</w:t>
      </w:r>
      <w:r w:rsidRPr="0001726C">
        <w:rPr>
          <w:rFonts w:ascii="Arial" w:hAnsi="Arial" w:cs="Arial"/>
          <w:color w:val="000000" w:themeColor="text1"/>
          <w:sz w:val="24"/>
          <w:szCs w:val="24"/>
        </w:rPr>
        <w:t>descongelados</w:t>
      </w:r>
      <w:r w:rsidR="00A67CB5" w:rsidRPr="0001726C">
        <w:rPr>
          <w:rFonts w:ascii="Arial" w:hAnsi="Arial" w:cs="Arial"/>
          <w:color w:val="000000" w:themeColor="text1"/>
          <w:sz w:val="24"/>
          <w:szCs w:val="24"/>
        </w:rPr>
        <w:t>”</w:t>
      </w:r>
      <w:r w:rsidRPr="0001726C">
        <w:rPr>
          <w:rFonts w:ascii="Arial" w:hAnsi="Arial" w:cs="Arial"/>
          <w:color w:val="000000" w:themeColor="text1"/>
          <w:sz w:val="24"/>
          <w:szCs w:val="24"/>
        </w:rPr>
        <w:t>.</w:t>
      </w:r>
    </w:p>
    <w:p w:rsidR="00900557" w:rsidRPr="0001726C" w:rsidRDefault="00900557" w:rsidP="006466B1">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La UIF, a cargo de Pablo Gómez</w:t>
      </w:r>
      <w:r w:rsidR="00650FF1" w:rsidRPr="0001726C">
        <w:rPr>
          <w:rFonts w:ascii="Arial" w:hAnsi="Arial" w:cs="Arial"/>
          <w:color w:val="000000" w:themeColor="text1"/>
          <w:sz w:val="24"/>
          <w:szCs w:val="24"/>
        </w:rPr>
        <w:t xml:space="preserve"> desde el 8 de noviembre de 2021, </w:t>
      </w:r>
      <w:r w:rsidRPr="0001726C">
        <w:rPr>
          <w:rFonts w:ascii="Arial" w:hAnsi="Arial" w:cs="Arial"/>
          <w:color w:val="000000" w:themeColor="text1"/>
          <w:sz w:val="24"/>
          <w:szCs w:val="24"/>
        </w:rPr>
        <w:t>d</w:t>
      </w:r>
      <w:r w:rsidR="00650FF1" w:rsidRPr="0001726C">
        <w:rPr>
          <w:rFonts w:ascii="Arial" w:hAnsi="Arial" w:cs="Arial"/>
          <w:color w:val="000000" w:themeColor="text1"/>
          <w:sz w:val="24"/>
          <w:szCs w:val="24"/>
        </w:rPr>
        <w:t>io</w:t>
      </w:r>
      <w:r w:rsidRPr="0001726C">
        <w:rPr>
          <w:rFonts w:ascii="Arial" w:hAnsi="Arial" w:cs="Arial"/>
          <w:color w:val="000000" w:themeColor="text1"/>
          <w:sz w:val="24"/>
          <w:szCs w:val="24"/>
        </w:rPr>
        <w:t xml:space="preserve"> a conocer que, tan sólo en el acumulado a mayo de este año, </w:t>
      </w:r>
      <w:r w:rsidR="0071065F" w:rsidRPr="0001726C">
        <w:rPr>
          <w:rFonts w:ascii="Arial" w:hAnsi="Arial" w:cs="Arial"/>
          <w:color w:val="000000" w:themeColor="text1"/>
          <w:sz w:val="24"/>
          <w:szCs w:val="24"/>
        </w:rPr>
        <w:t xml:space="preserve">fueron </w:t>
      </w:r>
      <w:r w:rsidRPr="0001726C">
        <w:rPr>
          <w:rFonts w:ascii="Arial" w:hAnsi="Arial" w:cs="Arial"/>
          <w:color w:val="000000" w:themeColor="text1"/>
          <w:sz w:val="24"/>
          <w:szCs w:val="24"/>
        </w:rPr>
        <w:t>bloqueado</w:t>
      </w:r>
      <w:r w:rsidR="0071065F" w:rsidRPr="0001726C">
        <w:rPr>
          <w:rFonts w:ascii="Arial" w:hAnsi="Arial" w:cs="Arial"/>
          <w:color w:val="000000" w:themeColor="text1"/>
          <w:sz w:val="24"/>
          <w:szCs w:val="24"/>
        </w:rPr>
        <w:t>s</w:t>
      </w:r>
      <w:r w:rsidRPr="0001726C">
        <w:rPr>
          <w:rFonts w:ascii="Arial" w:hAnsi="Arial" w:cs="Arial"/>
          <w:color w:val="000000" w:themeColor="text1"/>
          <w:sz w:val="24"/>
          <w:szCs w:val="24"/>
        </w:rPr>
        <w:t xml:space="preserve"> 346 millones de pesos y</w:t>
      </w:r>
      <w:r w:rsidR="0071065F" w:rsidRPr="0001726C">
        <w:rPr>
          <w:rFonts w:ascii="Arial" w:hAnsi="Arial" w:cs="Arial"/>
          <w:color w:val="000000" w:themeColor="text1"/>
          <w:sz w:val="24"/>
          <w:szCs w:val="24"/>
        </w:rPr>
        <w:t xml:space="preserve"> </w:t>
      </w:r>
      <w:r w:rsidRPr="0001726C">
        <w:rPr>
          <w:rFonts w:ascii="Arial" w:hAnsi="Arial" w:cs="Arial"/>
          <w:color w:val="000000" w:themeColor="text1"/>
          <w:sz w:val="24"/>
          <w:szCs w:val="24"/>
        </w:rPr>
        <w:t>las personas bajo investigación por presuntos delitos de lavado de dinero o financiamiento al terrorismo recuper</w:t>
      </w:r>
      <w:r w:rsidR="00650FF1" w:rsidRPr="0001726C">
        <w:rPr>
          <w:rFonts w:ascii="Arial" w:hAnsi="Arial" w:cs="Arial"/>
          <w:color w:val="000000" w:themeColor="text1"/>
          <w:sz w:val="24"/>
          <w:szCs w:val="24"/>
        </w:rPr>
        <w:t>ó</w:t>
      </w:r>
      <w:r w:rsidRPr="0001726C">
        <w:rPr>
          <w:rFonts w:ascii="Arial" w:hAnsi="Arial" w:cs="Arial"/>
          <w:color w:val="000000" w:themeColor="text1"/>
          <w:sz w:val="24"/>
          <w:szCs w:val="24"/>
        </w:rPr>
        <w:t>, vía juicios de amparo, 534 623 pesos</w:t>
      </w:r>
      <w:r w:rsidR="00650FF1" w:rsidRPr="0001726C">
        <w:rPr>
          <w:rFonts w:ascii="Arial" w:hAnsi="Arial" w:cs="Arial"/>
          <w:color w:val="000000" w:themeColor="text1"/>
          <w:sz w:val="24"/>
          <w:szCs w:val="24"/>
        </w:rPr>
        <w:t>, un porcentaje que nada tiene que ver con los nueve de cada 10 pesos “descongelados</w:t>
      </w:r>
      <w:r w:rsidR="0071065F" w:rsidRPr="0001726C">
        <w:rPr>
          <w:rFonts w:ascii="Arial" w:hAnsi="Arial" w:cs="Arial"/>
          <w:color w:val="000000" w:themeColor="text1"/>
          <w:sz w:val="24"/>
          <w:szCs w:val="24"/>
        </w:rPr>
        <w:t>”</w:t>
      </w:r>
      <w:r w:rsidR="00650FF1" w:rsidRPr="0001726C">
        <w:rPr>
          <w:rFonts w:ascii="Arial" w:hAnsi="Arial" w:cs="Arial"/>
          <w:color w:val="000000" w:themeColor="text1"/>
          <w:sz w:val="24"/>
          <w:szCs w:val="24"/>
        </w:rPr>
        <w:t xml:space="preserve"> en </w:t>
      </w:r>
      <w:r w:rsidR="007462CA" w:rsidRPr="0001726C">
        <w:rPr>
          <w:rFonts w:ascii="Arial" w:hAnsi="Arial" w:cs="Arial"/>
          <w:color w:val="000000" w:themeColor="text1"/>
          <w:sz w:val="24"/>
          <w:szCs w:val="24"/>
        </w:rPr>
        <w:t>nueve años.</w:t>
      </w:r>
    </w:p>
    <w:p w:rsidR="00C85702" w:rsidRPr="0001726C" w:rsidRDefault="00650FF1" w:rsidP="006466B1">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 xml:space="preserve">Esto habla de que a pesar de que Gómez Álvarez –sin parentesco con la gobernadora electa del estado de México, tras una </w:t>
      </w:r>
      <w:r w:rsidR="00C85702" w:rsidRPr="0001726C">
        <w:rPr>
          <w:rFonts w:ascii="Arial" w:hAnsi="Arial" w:cs="Arial"/>
          <w:color w:val="000000" w:themeColor="text1"/>
          <w:sz w:val="24"/>
          <w:szCs w:val="24"/>
        </w:rPr>
        <w:t xml:space="preserve">holgada </w:t>
      </w:r>
      <w:r w:rsidRPr="0001726C">
        <w:rPr>
          <w:rFonts w:ascii="Arial" w:hAnsi="Arial" w:cs="Arial"/>
          <w:color w:val="000000" w:themeColor="text1"/>
          <w:sz w:val="24"/>
          <w:szCs w:val="24"/>
        </w:rPr>
        <w:t>victoria</w:t>
      </w:r>
      <w:r w:rsidR="00C85702" w:rsidRPr="0001726C">
        <w:rPr>
          <w:rFonts w:ascii="Arial" w:hAnsi="Arial" w:cs="Arial"/>
          <w:color w:val="000000" w:themeColor="text1"/>
          <w:sz w:val="24"/>
          <w:szCs w:val="24"/>
        </w:rPr>
        <w:t>–</w:t>
      </w:r>
      <w:r w:rsidR="007462CA" w:rsidRPr="0001726C">
        <w:rPr>
          <w:rFonts w:ascii="Arial" w:hAnsi="Arial" w:cs="Arial"/>
          <w:color w:val="000000" w:themeColor="text1"/>
          <w:sz w:val="24"/>
          <w:szCs w:val="24"/>
        </w:rPr>
        <w:t xml:space="preserve">, </w:t>
      </w:r>
      <w:r w:rsidRPr="0001726C">
        <w:rPr>
          <w:rFonts w:ascii="Arial" w:hAnsi="Arial" w:cs="Arial"/>
          <w:color w:val="000000" w:themeColor="text1"/>
          <w:sz w:val="24"/>
          <w:szCs w:val="24"/>
        </w:rPr>
        <w:t>no es un experto en la materia, se tomó con mucha seriedad la tarea (encargo) que le asignó el presidente Andrés Manuel</w:t>
      </w:r>
      <w:r w:rsidR="00C85702" w:rsidRPr="0001726C">
        <w:rPr>
          <w:rFonts w:ascii="Arial" w:hAnsi="Arial" w:cs="Arial"/>
          <w:color w:val="000000" w:themeColor="text1"/>
          <w:sz w:val="24"/>
          <w:szCs w:val="24"/>
        </w:rPr>
        <w:t xml:space="preserve">. Las tres comparecencias en igual número de </w:t>
      </w:r>
      <w:r w:rsidR="00C85702" w:rsidRPr="0001726C">
        <w:rPr>
          <w:rFonts w:ascii="Arial" w:hAnsi="Arial" w:cs="Arial"/>
          <w:i/>
          <w:color w:val="000000" w:themeColor="text1"/>
          <w:sz w:val="24"/>
          <w:szCs w:val="24"/>
        </w:rPr>
        <w:t>mañaneras</w:t>
      </w:r>
      <w:r w:rsidR="00C85702" w:rsidRPr="0001726C">
        <w:rPr>
          <w:rFonts w:ascii="Arial" w:hAnsi="Arial" w:cs="Arial"/>
          <w:color w:val="000000" w:themeColor="text1"/>
          <w:sz w:val="24"/>
          <w:szCs w:val="24"/>
        </w:rPr>
        <w:t xml:space="preserve"> muestran a un funcionario que prepara bien lo que va a informar, vía lectura, y que no se toma licencias discursivas como era costumbre.</w:t>
      </w:r>
    </w:p>
    <w:p w:rsidR="00A02D44" w:rsidRPr="0001726C" w:rsidRDefault="00A02D44" w:rsidP="002B3413">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El titular de la UIF explicó la semana anterior que la Unidad no bloquea cuentas</w:t>
      </w:r>
      <w:r w:rsidR="002B3413" w:rsidRPr="0001726C">
        <w:rPr>
          <w:rFonts w:ascii="Arial" w:hAnsi="Arial" w:cs="Arial"/>
          <w:color w:val="000000" w:themeColor="text1"/>
          <w:sz w:val="24"/>
          <w:szCs w:val="24"/>
        </w:rPr>
        <w:t xml:space="preserve"> –como dice la leyenda urbana–</w:t>
      </w:r>
      <w:r w:rsidRPr="0001726C">
        <w:rPr>
          <w:rFonts w:ascii="Arial" w:hAnsi="Arial" w:cs="Arial"/>
          <w:color w:val="000000" w:themeColor="text1"/>
          <w:sz w:val="24"/>
          <w:szCs w:val="24"/>
        </w:rPr>
        <w:t>, sino a personas, de acuerdo con la ley. Lo cual quiere decir que las personas bloqueadas no pueden hacer ninguna operación de ningún tipo en el sistema financiero</w:t>
      </w:r>
      <w:r w:rsidR="002B3413" w:rsidRPr="0001726C">
        <w:rPr>
          <w:rFonts w:ascii="Arial" w:hAnsi="Arial" w:cs="Arial"/>
          <w:color w:val="000000" w:themeColor="text1"/>
          <w:sz w:val="24"/>
          <w:szCs w:val="24"/>
        </w:rPr>
        <w:t>. Precis</w:t>
      </w:r>
      <w:r w:rsidR="007462CA" w:rsidRPr="0001726C">
        <w:rPr>
          <w:rFonts w:ascii="Arial" w:hAnsi="Arial" w:cs="Arial"/>
          <w:color w:val="000000" w:themeColor="text1"/>
          <w:sz w:val="24"/>
          <w:szCs w:val="24"/>
        </w:rPr>
        <w:t>ó</w:t>
      </w:r>
      <w:r w:rsidR="002B3413" w:rsidRPr="0001726C">
        <w:rPr>
          <w:rFonts w:ascii="Arial" w:hAnsi="Arial" w:cs="Arial"/>
          <w:color w:val="000000" w:themeColor="text1"/>
          <w:sz w:val="24"/>
          <w:szCs w:val="24"/>
        </w:rPr>
        <w:t xml:space="preserve"> también que e</w:t>
      </w:r>
      <w:r w:rsidR="007462CA" w:rsidRPr="0001726C">
        <w:rPr>
          <w:rFonts w:ascii="Arial" w:hAnsi="Arial" w:cs="Arial"/>
          <w:color w:val="000000" w:themeColor="text1"/>
          <w:sz w:val="24"/>
          <w:szCs w:val="24"/>
        </w:rPr>
        <w:t>s</w:t>
      </w:r>
      <w:r w:rsidR="002B3413" w:rsidRPr="0001726C">
        <w:rPr>
          <w:rFonts w:ascii="Arial" w:hAnsi="Arial" w:cs="Arial"/>
          <w:color w:val="000000" w:themeColor="text1"/>
          <w:sz w:val="24"/>
          <w:szCs w:val="24"/>
        </w:rPr>
        <w:t xml:space="preserve"> imposible “</w:t>
      </w:r>
      <w:r w:rsidRPr="0001726C">
        <w:rPr>
          <w:rFonts w:ascii="Arial" w:hAnsi="Arial" w:cs="Arial"/>
          <w:color w:val="000000" w:themeColor="text1"/>
          <w:sz w:val="24"/>
          <w:szCs w:val="24"/>
        </w:rPr>
        <w:t>bloquear a voluntad a una persona del sistema financiero</w:t>
      </w:r>
      <w:r w:rsidR="007462CA" w:rsidRPr="0001726C">
        <w:rPr>
          <w:rFonts w:ascii="Arial" w:hAnsi="Arial" w:cs="Arial"/>
          <w:color w:val="000000" w:themeColor="text1"/>
          <w:sz w:val="24"/>
          <w:szCs w:val="24"/>
        </w:rPr>
        <w:t>”</w:t>
      </w:r>
      <w:r w:rsidRPr="0001726C">
        <w:rPr>
          <w:rFonts w:ascii="Arial" w:hAnsi="Arial" w:cs="Arial"/>
          <w:color w:val="000000" w:themeColor="text1"/>
          <w:sz w:val="24"/>
          <w:szCs w:val="24"/>
        </w:rPr>
        <w:t>.</w:t>
      </w:r>
    </w:p>
    <w:p w:rsidR="00D45D77" w:rsidRPr="0001726C" w:rsidRDefault="002D1CD1" w:rsidP="0071065F">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Importa también</w:t>
      </w:r>
      <w:r w:rsidR="00D45D77" w:rsidRPr="0001726C">
        <w:rPr>
          <w:rFonts w:ascii="Arial" w:hAnsi="Arial" w:cs="Arial"/>
          <w:color w:val="000000" w:themeColor="text1"/>
          <w:sz w:val="24"/>
          <w:szCs w:val="24"/>
        </w:rPr>
        <w:t xml:space="preserve">, como explicó Gómez, </w:t>
      </w:r>
      <w:r w:rsidRPr="0001726C">
        <w:rPr>
          <w:rFonts w:ascii="Arial" w:hAnsi="Arial" w:cs="Arial"/>
          <w:color w:val="000000" w:themeColor="text1"/>
          <w:sz w:val="24"/>
          <w:szCs w:val="24"/>
        </w:rPr>
        <w:t>no perder de vista que l</w:t>
      </w:r>
      <w:r w:rsidR="002B3413" w:rsidRPr="0001726C">
        <w:rPr>
          <w:rFonts w:ascii="Arial" w:hAnsi="Arial" w:cs="Arial"/>
          <w:color w:val="000000" w:themeColor="text1"/>
          <w:sz w:val="24"/>
          <w:szCs w:val="24"/>
        </w:rPr>
        <w:t xml:space="preserve">a inteligencia financiera es un sistema internacional que nos rige a nosotros, tanto nuestras leyes, como tratados y convenciones internacionales firmadas por el Estado mexicano y </w:t>
      </w:r>
      <w:r w:rsidR="007462CA" w:rsidRPr="0001726C">
        <w:rPr>
          <w:rFonts w:ascii="Arial" w:hAnsi="Arial" w:cs="Arial"/>
          <w:color w:val="000000" w:themeColor="text1"/>
          <w:sz w:val="24"/>
          <w:szCs w:val="24"/>
        </w:rPr>
        <w:t xml:space="preserve">son </w:t>
      </w:r>
      <w:r w:rsidR="002B3413" w:rsidRPr="0001726C">
        <w:rPr>
          <w:rFonts w:ascii="Arial" w:hAnsi="Arial" w:cs="Arial"/>
          <w:color w:val="000000" w:themeColor="text1"/>
          <w:sz w:val="24"/>
          <w:szCs w:val="24"/>
        </w:rPr>
        <w:t xml:space="preserve">compromiso mundial. Lo que hace la UIF es incorporar a la lista de personas </w:t>
      </w:r>
      <w:r w:rsidR="002B3413" w:rsidRPr="0001726C">
        <w:rPr>
          <w:rFonts w:ascii="Arial" w:hAnsi="Arial" w:cs="Arial"/>
          <w:color w:val="000000" w:themeColor="text1"/>
          <w:sz w:val="24"/>
          <w:szCs w:val="24"/>
        </w:rPr>
        <w:lastRenderedPageBreak/>
        <w:t xml:space="preserve">bloqueadas, a personas físicas y morales, las cuales no pueden hacer ninguna operación </w:t>
      </w:r>
      <w:r w:rsidR="00A007CD" w:rsidRPr="0001726C">
        <w:rPr>
          <w:rFonts w:ascii="Arial" w:hAnsi="Arial" w:cs="Arial"/>
          <w:color w:val="000000" w:themeColor="text1"/>
          <w:sz w:val="24"/>
          <w:szCs w:val="24"/>
        </w:rPr>
        <w:t>e</w:t>
      </w:r>
      <w:r w:rsidR="002B3413" w:rsidRPr="0001726C">
        <w:rPr>
          <w:rFonts w:ascii="Arial" w:hAnsi="Arial" w:cs="Arial"/>
          <w:color w:val="000000" w:themeColor="text1"/>
          <w:sz w:val="24"/>
          <w:szCs w:val="24"/>
        </w:rPr>
        <w:t>n el sistema financiero nacional.</w:t>
      </w:r>
    </w:p>
    <w:p w:rsidR="00210823" w:rsidRPr="0001726C" w:rsidRDefault="00210823" w:rsidP="007462CA">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 xml:space="preserve">Sin embargo, la UIF de Pablo Gómez está lejos de registrar los récords del monto bloqueado en 2019, cuando </w:t>
      </w:r>
      <w:r w:rsidR="00A007CD" w:rsidRPr="0001726C">
        <w:rPr>
          <w:rFonts w:ascii="Arial" w:hAnsi="Arial" w:cs="Arial"/>
          <w:color w:val="000000" w:themeColor="text1"/>
          <w:sz w:val="24"/>
          <w:szCs w:val="24"/>
        </w:rPr>
        <w:t xml:space="preserve">se </w:t>
      </w:r>
      <w:r w:rsidRPr="0001726C">
        <w:rPr>
          <w:rFonts w:ascii="Arial" w:hAnsi="Arial" w:cs="Arial"/>
          <w:color w:val="000000" w:themeColor="text1"/>
          <w:sz w:val="24"/>
          <w:szCs w:val="24"/>
        </w:rPr>
        <w:t>congel</w:t>
      </w:r>
      <w:r w:rsidR="007462CA" w:rsidRPr="0001726C">
        <w:rPr>
          <w:rFonts w:ascii="Arial" w:hAnsi="Arial" w:cs="Arial"/>
          <w:color w:val="000000" w:themeColor="text1"/>
          <w:sz w:val="24"/>
          <w:szCs w:val="24"/>
        </w:rPr>
        <w:t>aron</w:t>
      </w:r>
      <w:r w:rsidRPr="0001726C">
        <w:rPr>
          <w:rFonts w:ascii="Arial" w:hAnsi="Arial" w:cs="Arial"/>
          <w:color w:val="000000" w:themeColor="text1"/>
          <w:sz w:val="24"/>
          <w:szCs w:val="24"/>
        </w:rPr>
        <w:t xml:space="preserve"> 16 mil 384 millones de pesos, per</w:t>
      </w:r>
      <w:r w:rsidR="007462CA" w:rsidRPr="0001726C">
        <w:rPr>
          <w:rFonts w:ascii="Arial" w:hAnsi="Arial" w:cs="Arial"/>
          <w:color w:val="000000" w:themeColor="text1"/>
          <w:sz w:val="24"/>
          <w:szCs w:val="24"/>
        </w:rPr>
        <w:t>o</w:t>
      </w:r>
      <w:r w:rsidRPr="0001726C">
        <w:rPr>
          <w:rFonts w:ascii="Arial" w:hAnsi="Arial" w:cs="Arial"/>
          <w:color w:val="000000" w:themeColor="text1"/>
          <w:sz w:val="24"/>
          <w:szCs w:val="24"/>
        </w:rPr>
        <w:t xml:space="preserve"> sólo 706 millones de pesos se mantuvieron bajo resguardo, </w:t>
      </w:r>
      <w:r w:rsidR="007462CA" w:rsidRPr="0001726C">
        <w:rPr>
          <w:rFonts w:ascii="Arial" w:hAnsi="Arial" w:cs="Arial"/>
          <w:color w:val="000000" w:themeColor="text1"/>
          <w:sz w:val="24"/>
          <w:szCs w:val="24"/>
        </w:rPr>
        <w:t xml:space="preserve">con </w:t>
      </w:r>
      <w:r w:rsidRPr="0001726C">
        <w:rPr>
          <w:rFonts w:ascii="Arial" w:hAnsi="Arial" w:cs="Arial"/>
          <w:color w:val="000000" w:themeColor="text1"/>
          <w:sz w:val="24"/>
          <w:szCs w:val="24"/>
        </w:rPr>
        <w:t xml:space="preserve">la dirección de Santiago Nieto, un jurista </w:t>
      </w:r>
      <w:r w:rsidR="00A007CD" w:rsidRPr="0001726C">
        <w:rPr>
          <w:rFonts w:ascii="Arial" w:hAnsi="Arial" w:cs="Arial"/>
          <w:color w:val="000000" w:themeColor="text1"/>
          <w:sz w:val="24"/>
          <w:szCs w:val="24"/>
        </w:rPr>
        <w:t xml:space="preserve">demasiado </w:t>
      </w:r>
      <w:r w:rsidRPr="0001726C">
        <w:rPr>
          <w:rFonts w:ascii="Arial" w:hAnsi="Arial" w:cs="Arial"/>
          <w:color w:val="000000" w:themeColor="text1"/>
          <w:sz w:val="24"/>
          <w:szCs w:val="24"/>
        </w:rPr>
        <w:t>protagónico</w:t>
      </w:r>
      <w:r w:rsidR="00A007CD" w:rsidRPr="0001726C">
        <w:rPr>
          <w:rFonts w:ascii="Arial" w:hAnsi="Arial" w:cs="Arial"/>
          <w:color w:val="000000" w:themeColor="text1"/>
          <w:sz w:val="24"/>
          <w:szCs w:val="24"/>
        </w:rPr>
        <w:t>, exhibicionista.</w:t>
      </w:r>
    </w:p>
    <w:p w:rsidR="00210823" w:rsidRPr="0001726C" w:rsidRDefault="00210823" w:rsidP="0001726C">
      <w:pPr>
        <w:spacing w:after="0" w:line="240" w:lineRule="auto"/>
        <w:ind w:firstLine="708"/>
        <w:jc w:val="both"/>
        <w:rPr>
          <w:rFonts w:ascii="Arial" w:hAnsi="Arial" w:cs="Arial"/>
          <w:color w:val="000000" w:themeColor="text1"/>
          <w:sz w:val="24"/>
          <w:szCs w:val="24"/>
        </w:rPr>
      </w:pPr>
      <w:r w:rsidRPr="0001726C">
        <w:rPr>
          <w:rFonts w:ascii="Arial" w:hAnsi="Arial" w:cs="Arial"/>
          <w:color w:val="000000" w:themeColor="text1"/>
          <w:sz w:val="24"/>
          <w:szCs w:val="24"/>
        </w:rPr>
        <w:t>Por las cifras mencionadas resulta evidente que los amparos otorgados</w:t>
      </w:r>
      <w:r w:rsidR="0001726C" w:rsidRPr="0001726C">
        <w:rPr>
          <w:rFonts w:ascii="Arial" w:hAnsi="Arial" w:cs="Arial"/>
          <w:color w:val="000000" w:themeColor="text1"/>
          <w:sz w:val="24"/>
          <w:szCs w:val="24"/>
        </w:rPr>
        <w:t xml:space="preserve"> por los jueces </w:t>
      </w:r>
      <w:r w:rsidRPr="0001726C">
        <w:rPr>
          <w:rFonts w:ascii="Arial" w:hAnsi="Arial" w:cs="Arial"/>
          <w:color w:val="000000" w:themeColor="text1"/>
          <w:sz w:val="24"/>
          <w:szCs w:val="24"/>
        </w:rPr>
        <w:t xml:space="preserve">a </w:t>
      </w:r>
      <w:r w:rsidR="0001726C" w:rsidRPr="0001726C">
        <w:rPr>
          <w:rFonts w:ascii="Arial" w:hAnsi="Arial" w:cs="Arial"/>
          <w:color w:val="000000" w:themeColor="text1"/>
          <w:sz w:val="24"/>
          <w:szCs w:val="24"/>
        </w:rPr>
        <w:t xml:space="preserve">las </w:t>
      </w:r>
      <w:r w:rsidRPr="0001726C">
        <w:rPr>
          <w:rFonts w:ascii="Arial" w:hAnsi="Arial" w:cs="Arial"/>
          <w:color w:val="000000" w:themeColor="text1"/>
          <w:sz w:val="24"/>
          <w:szCs w:val="24"/>
        </w:rPr>
        <w:t>personas física</w:t>
      </w:r>
      <w:r w:rsidR="00A67CB5" w:rsidRPr="0001726C">
        <w:rPr>
          <w:rFonts w:ascii="Arial" w:hAnsi="Arial" w:cs="Arial"/>
          <w:color w:val="000000" w:themeColor="text1"/>
          <w:sz w:val="24"/>
          <w:szCs w:val="24"/>
        </w:rPr>
        <w:t>s</w:t>
      </w:r>
      <w:r w:rsidRPr="0001726C">
        <w:rPr>
          <w:rFonts w:ascii="Arial" w:hAnsi="Arial" w:cs="Arial"/>
          <w:color w:val="000000" w:themeColor="text1"/>
          <w:sz w:val="24"/>
          <w:szCs w:val="24"/>
        </w:rPr>
        <w:t xml:space="preserve"> y morales, la obstrucción judicial al trabajo de la UIF es </w:t>
      </w:r>
      <w:r w:rsidR="00A67CB5" w:rsidRPr="0001726C">
        <w:rPr>
          <w:rFonts w:ascii="Arial" w:hAnsi="Arial" w:cs="Arial"/>
          <w:color w:val="000000" w:themeColor="text1"/>
          <w:sz w:val="24"/>
          <w:szCs w:val="24"/>
        </w:rPr>
        <w:t xml:space="preserve">una </w:t>
      </w:r>
      <w:r w:rsidRPr="0001726C">
        <w:rPr>
          <w:rFonts w:ascii="Arial" w:hAnsi="Arial" w:cs="Arial"/>
          <w:color w:val="000000" w:themeColor="text1"/>
          <w:sz w:val="24"/>
          <w:szCs w:val="24"/>
        </w:rPr>
        <w:t>práctica recurrente por lo menos desde 2014, cuando Norma Lucía Piña estaba muy lejos de presi</w:t>
      </w:r>
      <w:r w:rsidR="007462CA" w:rsidRPr="0001726C">
        <w:rPr>
          <w:rFonts w:ascii="Arial" w:hAnsi="Arial" w:cs="Arial"/>
          <w:color w:val="000000" w:themeColor="text1"/>
          <w:sz w:val="24"/>
          <w:szCs w:val="24"/>
        </w:rPr>
        <w:t>dir la muy corta Suprema Corte.</w:t>
      </w:r>
    </w:p>
    <w:p w:rsidR="001B7116" w:rsidRPr="0001726C" w:rsidRDefault="001B7116" w:rsidP="001B7116">
      <w:pPr>
        <w:spacing w:after="0" w:line="240" w:lineRule="auto"/>
        <w:jc w:val="center"/>
        <w:rPr>
          <w:rFonts w:ascii="Arial" w:hAnsi="Arial" w:cs="Arial"/>
          <w:b/>
          <w:color w:val="000000" w:themeColor="text1"/>
          <w:sz w:val="24"/>
          <w:szCs w:val="24"/>
        </w:rPr>
      </w:pPr>
      <w:r w:rsidRPr="0001726C">
        <w:rPr>
          <w:rFonts w:ascii="Arial" w:hAnsi="Arial" w:cs="Arial"/>
          <w:b/>
          <w:color w:val="000000" w:themeColor="text1"/>
          <w:sz w:val="24"/>
          <w:szCs w:val="24"/>
        </w:rPr>
        <w:t>Acuse de recibo</w:t>
      </w:r>
    </w:p>
    <w:p w:rsidR="001B7116" w:rsidRPr="0001726C" w:rsidRDefault="001B7116" w:rsidP="001B7116">
      <w:pPr>
        <w:spacing w:after="0" w:line="240" w:lineRule="auto"/>
        <w:jc w:val="both"/>
        <w:rPr>
          <w:rFonts w:ascii="Arial" w:hAnsi="Arial" w:cs="Arial"/>
          <w:color w:val="000000" w:themeColor="text1"/>
          <w:sz w:val="24"/>
          <w:szCs w:val="24"/>
        </w:rPr>
      </w:pPr>
      <w:r w:rsidRPr="0001726C">
        <w:rPr>
          <w:rFonts w:ascii="Arial" w:hAnsi="Arial" w:cs="Arial"/>
          <w:color w:val="000000" w:themeColor="text1"/>
          <w:sz w:val="24"/>
          <w:szCs w:val="24"/>
        </w:rPr>
        <w:t xml:space="preserve">Pregunta del periodista </w:t>
      </w:r>
      <w:r w:rsidR="00A007CD" w:rsidRPr="0001726C">
        <w:rPr>
          <w:rFonts w:ascii="Arial" w:hAnsi="Arial" w:cs="Arial"/>
          <w:color w:val="000000" w:themeColor="text1"/>
          <w:sz w:val="24"/>
          <w:szCs w:val="24"/>
        </w:rPr>
        <w:t xml:space="preserve">y editor </w:t>
      </w:r>
      <w:r w:rsidRPr="0001726C">
        <w:rPr>
          <w:rFonts w:ascii="Arial" w:hAnsi="Arial" w:cs="Arial"/>
          <w:color w:val="000000" w:themeColor="text1"/>
          <w:sz w:val="24"/>
          <w:szCs w:val="24"/>
        </w:rPr>
        <w:t xml:space="preserve">Moisés Edwin Barreda: “Mi estimado Ibarra, ¿acaso aludes a la edil de la Cuauhtémoc cuando hablas de la  ‘…alcaldesa que ‘estudió posgrados en 10 países’? No leí en su oportunidad semejante barbaridad. Creo que lo que quiso decir es que hizo estudios de posgrado en diez países y no terminó ninguno, ¿tú no lo crees? De todos modos, semejante barbaridad de la susodicha es para Ripley, previa larga y muy sonora carcajada”… En efecto, se trata de Sandra </w:t>
      </w:r>
      <w:proofErr w:type="spellStart"/>
      <w:r w:rsidRPr="0001726C">
        <w:rPr>
          <w:rFonts w:ascii="Arial" w:hAnsi="Arial" w:cs="Arial"/>
          <w:color w:val="000000" w:themeColor="text1"/>
          <w:sz w:val="24"/>
          <w:szCs w:val="24"/>
        </w:rPr>
        <w:t>Xantall</w:t>
      </w:r>
      <w:proofErr w:type="spellEnd"/>
      <w:r w:rsidRPr="0001726C">
        <w:rPr>
          <w:rFonts w:ascii="Arial" w:hAnsi="Arial" w:cs="Arial"/>
          <w:color w:val="000000" w:themeColor="text1"/>
          <w:sz w:val="24"/>
          <w:szCs w:val="24"/>
        </w:rPr>
        <w:t xml:space="preserve"> Cuevas Nieves; </w:t>
      </w:r>
      <w:r w:rsidR="000E283D" w:rsidRPr="0001726C">
        <w:rPr>
          <w:rFonts w:ascii="Arial" w:hAnsi="Arial" w:cs="Arial"/>
          <w:color w:val="000000" w:themeColor="text1"/>
          <w:sz w:val="24"/>
          <w:szCs w:val="24"/>
        </w:rPr>
        <w:t xml:space="preserve">una </w:t>
      </w:r>
      <w:r w:rsidRPr="0001726C">
        <w:rPr>
          <w:rFonts w:ascii="Arial" w:hAnsi="Arial" w:cs="Arial"/>
          <w:color w:val="000000" w:themeColor="text1"/>
          <w:sz w:val="24"/>
          <w:szCs w:val="24"/>
        </w:rPr>
        <w:t xml:space="preserve">finísima persona </w:t>
      </w:r>
      <w:r w:rsidR="000E283D" w:rsidRPr="0001726C">
        <w:rPr>
          <w:rFonts w:ascii="Arial" w:hAnsi="Arial" w:cs="Arial"/>
          <w:color w:val="000000" w:themeColor="text1"/>
          <w:sz w:val="24"/>
          <w:szCs w:val="24"/>
        </w:rPr>
        <w:t>perteneciente a los restos del</w:t>
      </w:r>
      <w:r w:rsidRPr="0001726C">
        <w:rPr>
          <w:rFonts w:ascii="Arial" w:hAnsi="Arial" w:cs="Arial"/>
          <w:color w:val="000000" w:themeColor="text1"/>
          <w:sz w:val="24"/>
          <w:szCs w:val="24"/>
        </w:rPr>
        <w:t xml:space="preserve"> Partido de la Revolución Democrática</w:t>
      </w:r>
      <w:r w:rsidR="00A007CD" w:rsidRPr="0001726C">
        <w:rPr>
          <w:rFonts w:ascii="Arial" w:hAnsi="Arial" w:cs="Arial"/>
          <w:color w:val="000000" w:themeColor="text1"/>
          <w:sz w:val="24"/>
          <w:szCs w:val="24"/>
        </w:rPr>
        <w:t xml:space="preserve"> y</w:t>
      </w:r>
      <w:r w:rsidRPr="0001726C">
        <w:rPr>
          <w:rFonts w:ascii="Arial" w:hAnsi="Arial" w:cs="Arial"/>
          <w:color w:val="000000" w:themeColor="text1"/>
          <w:sz w:val="24"/>
          <w:szCs w:val="24"/>
        </w:rPr>
        <w:t xml:space="preserve"> apadrinada por Ricardo Monreal Ávila… “La Oficina en México del Alto Comisionado de las Naciones Unidas para los Derechos Humanos (ONU-DH) condena la desaparición y posterior asesinato del periodista Luis Martín Sánchez Íñiguez en las inmediaciones de Tepic, Nayarit. Además de este suceso, otros dos colaboradores de medios locales habrían sido también desaparecidos en la misma zona entre el 3 y el 7 de julio; uno de ellos fue localizado con vida el 8 de julio”. (9-VII-23)…” El próximo domingo se cumple la primera década del fallecimiento de Jorge Avendaño Martínez, integrante del </w:t>
      </w:r>
      <w:r w:rsidR="00A007CD" w:rsidRPr="0001726C">
        <w:rPr>
          <w:rFonts w:ascii="Arial" w:hAnsi="Arial" w:cs="Arial"/>
          <w:color w:val="000000" w:themeColor="text1"/>
          <w:sz w:val="24"/>
          <w:szCs w:val="24"/>
        </w:rPr>
        <w:t>G</w:t>
      </w:r>
      <w:r w:rsidRPr="0001726C">
        <w:rPr>
          <w:rFonts w:ascii="Arial" w:hAnsi="Arial" w:cs="Arial"/>
          <w:color w:val="000000" w:themeColor="text1"/>
          <w:sz w:val="24"/>
          <w:szCs w:val="24"/>
        </w:rPr>
        <w:t xml:space="preserve">rupo María Cristina y activista político… “¿Qué está pasando en la Cisjordania ocupada?: </w:t>
      </w:r>
      <w:proofErr w:type="spellStart"/>
      <w:r w:rsidRPr="0001726C">
        <w:rPr>
          <w:rFonts w:ascii="Arial" w:hAnsi="Arial" w:cs="Arial"/>
          <w:color w:val="000000" w:themeColor="text1"/>
          <w:sz w:val="24"/>
          <w:szCs w:val="24"/>
        </w:rPr>
        <w:t>Fadia</w:t>
      </w:r>
      <w:proofErr w:type="spellEnd"/>
      <w:r w:rsidRPr="0001726C">
        <w:rPr>
          <w:rFonts w:ascii="Arial" w:hAnsi="Arial" w:cs="Arial"/>
          <w:color w:val="000000" w:themeColor="text1"/>
          <w:sz w:val="24"/>
          <w:szCs w:val="24"/>
        </w:rPr>
        <w:t xml:space="preserve"> </w:t>
      </w:r>
      <w:proofErr w:type="spellStart"/>
      <w:r w:rsidRPr="0001726C">
        <w:rPr>
          <w:rFonts w:ascii="Arial" w:hAnsi="Arial" w:cs="Arial"/>
          <w:color w:val="000000" w:themeColor="text1"/>
          <w:sz w:val="24"/>
          <w:szCs w:val="24"/>
        </w:rPr>
        <w:t>Barghouti</w:t>
      </w:r>
      <w:proofErr w:type="spellEnd"/>
      <w:r w:rsidRPr="0001726C">
        <w:rPr>
          <w:rFonts w:ascii="Arial" w:hAnsi="Arial" w:cs="Arial"/>
          <w:color w:val="000000" w:themeColor="text1"/>
          <w:sz w:val="24"/>
          <w:szCs w:val="24"/>
        </w:rPr>
        <w:t xml:space="preserve">”, enlace enviado por el activista </w:t>
      </w:r>
      <w:r w:rsidR="00A007CD" w:rsidRPr="0001726C">
        <w:rPr>
          <w:rFonts w:ascii="Arial" w:hAnsi="Arial" w:cs="Arial"/>
          <w:color w:val="000000" w:themeColor="text1"/>
          <w:sz w:val="24"/>
          <w:szCs w:val="24"/>
        </w:rPr>
        <w:t xml:space="preserve">internacional </w:t>
      </w:r>
      <w:r w:rsidRPr="0001726C">
        <w:rPr>
          <w:rFonts w:ascii="Arial" w:hAnsi="Arial" w:cs="Arial"/>
          <w:color w:val="000000" w:themeColor="text1"/>
          <w:sz w:val="24"/>
          <w:szCs w:val="24"/>
        </w:rPr>
        <w:t xml:space="preserve">Pedro </w:t>
      </w:r>
      <w:proofErr w:type="spellStart"/>
      <w:r w:rsidRPr="0001726C">
        <w:rPr>
          <w:rFonts w:ascii="Arial" w:hAnsi="Arial" w:cs="Arial"/>
          <w:color w:val="000000" w:themeColor="text1"/>
          <w:sz w:val="24"/>
          <w:szCs w:val="24"/>
        </w:rPr>
        <w:t>Gellert</w:t>
      </w:r>
      <w:proofErr w:type="spellEnd"/>
      <w:r w:rsidRPr="0001726C">
        <w:rPr>
          <w:rFonts w:ascii="Arial" w:hAnsi="Arial" w:cs="Arial"/>
          <w:color w:val="000000" w:themeColor="text1"/>
          <w:sz w:val="24"/>
          <w:szCs w:val="24"/>
        </w:rPr>
        <w:t xml:space="preserve"> F… </w:t>
      </w:r>
      <w:hyperlink r:id="rId4" w:history="1">
        <w:r w:rsidRPr="0001726C">
          <w:rPr>
            <w:rStyle w:val="Hipervnculo"/>
            <w:rFonts w:ascii="Arial" w:hAnsi="Arial" w:cs="Arial"/>
            <w:color w:val="000000" w:themeColor="text1"/>
            <w:sz w:val="24"/>
            <w:szCs w:val="24"/>
          </w:rPr>
          <w:t>https://www.youtube.com/watch?v=NGEuN5Kh6gg&amp;t=397s</w:t>
        </w:r>
      </w:hyperlink>
    </w:p>
    <w:p w:rsidR="009C1C96" w:rsidRPr="0001726C" w:rsidRDefault="001B7116" w:rsidP="001B7116">
      <w:pPr>
        <w:spacing w:after="0" w:line="240" w:lineRule="auto"/>
        <w:jc w:val="both"/>
        <w:rPr>
          <w:rFonts w:ascii="Arial" w:hAnsi="Arial" w:cs="Arial"/>
          <w:color w:val="000000" w:themeColor="text1"/>
          <w:sz w:val="16"/>
          <w:szCs w:val="16"/>
        </w:rPr>
      </w:pPr>
      <w:r w:rsidRPr="0001726C">
        <w:rPr>
          <w:rFonts w:ascii="Arial" w:hAnsi="Arial" w:cs="Arial"/>
          <w:color w:val="000000" w:themeColor="text1"/>
          <w:sz w:val="16"/>
          <w:szCs w:val="16"/>
        </w:rPr>
        <w:t xml:space="preserve">http://www.forumenlinea.com/    forum@forumenlinea.com    </w:t>
      </w:r>
      <w:proofErr w:type="spellStart"/>
      <w:r w:rsidRPr="0001726C">
        <w:rPr>
          <w:rFonts w:ascii="Arial" w:hAnsi="Arial" w:cs="Arial"/>
          <w:color w:val="000000" w:themeColor="text1"/>
          <w:sz w:val="16"/>
          <w:szCs w:val="16"/>
        </w:rPr>
        <w:t>Twitter@IbarraAguirreEd</w:t>
      </w:r>
      <w:bookmarkStart w:id="0" w:name="_GoBack"/>
      <w:bookmarkEnd w:id="0"/>
      <w:proofErr w:type="spellEnd"/>
    </w:p>
    <w:sectPr w:rsidR="009C1C96" w:rsidRPr="000172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116"/>
    <w:rsid w:val="0001726C"/>
    <w:rsid w:val="000E283D"/>
    <w:rsid w:val="0012214D"/>
    <w:rsid w:val="001B7116"/>
    <w:rsid w:val="00210823"/>
    <w:rsid w:val="002B3413"/>
    <w:rsid w:val="002D1CD1"/>
    <w:rsid w:val="005E1EE6"/>
    <w:rsid w:val="006466B1"/>
    <w:rsid w:val="00650FF1"/>
    <w:rsid w:val="0071065F"/>
    <w:rsid w:val="007462CA"/>
    <w:rsid w:val="00900557"/>
    <w:rsid w:val="009C1C96"/>
    <w:rsid w:val="00A007CD"/>
    <w:rsid w:val="00A02D44"/>
    <w:rsid w:val="00A67CB5"/>
    <w:rsid w:val="00B05521"/>
    <w:rsid w:val="00C85702"/>
    <w:rsid w:val="00D45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B108F3-145C-4320-93F3-07C178B97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B71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NGEuN5Kh6gg&amp;t=397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798</Words>
  <Characters>4392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2023-07-13T18:36:00Z</dcterms:created>
  <dcterms:modified xsi:type="dcterms:W3CDTF">2023-07-23T01:57:00Z</dcterms:modified>
</cp:coreProperties>
</file>