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528" w:rsidRPr="00E51BEA" w:rsidRDefault="003E0528" w:rsidP="003E0528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E51BE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E0528" w:rsidRPr="00E51BEA" w:rsidRDefault="003E0528" w:rsidP="008B20E7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F6B51" w:rsidRPr="00E51BEA" w:rsidRDefault="008B20E7" w:rsidP="008B20E7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51BEA">
        <w:rPr>
          <w:rFonts w:ascii="Arial" w:hAnsi="Arial" w:cs="Arial"/>
          <w:b/>
          <w:color w:val="000000" w:themeColor="text1"/>
          <w:sz w:val="36"/>
          <w:szCs w:val="36"/>
        </w:rPr>
        <w:t>G</w:t>
      </w:r>
      <w:r w:rsidR="008F6B51" w:rsidRPr="00E51BEA">
        <w:rPr>
          <w:rFonts w:ascii="Arial" w:hAnsi="Arial" w:cs="Arial"/>
          <w:b/>
          <w:color w:val="000000" w:themeColor="text1"/>
          <w:sz w:val="36"/>
          <w:szCs w:val="36"/>
        </w:rPr>
        <w:t xml:space="preserve">anancias </w:t>
      </w:r>
      <w:r w:rsidR="00D2699C" w:rsidRPr="00E51BEA">
        <w:rPr>
          <w:rFonts w:ascii="Arial" w:hAnsi="Arial" w:cs="Arial"/>
          <w:b/>
          <w:color w:val="000000" w:themeColor="text1"/>
          <w:sz w:val="36"/>
          <w:szCs w:val="36"/>
        </w:rPr>
        <w:t xml:space="preserve">ilimitadas </w:t>
      </w:r>
      <w:r w:rsidRPr="00E51BEA">
        <w:rPr>
          <w:rFonts w:ascii="Arial" w:hAnsi="Arial" w:cs="Arial"/>
          <w:b/>
          <w:color w:val="000000" w:themeColor="text1"/>
          <w:sz w:val="36"/>
          <w:szCs w:val="36"/>
        </w:rPr>
        <w:t xml:space="preserve">de </w:t>
      </w:r>
      <w:r w:rsidR="008F6B51" w:rsidRPr="00E51BEA">
        <w:rPr>
          <w:rFonts w:ascii="Arial" w:hAnsi="Arial" w:cs="Arial"/>
          <w:b/>
          <w:color w:val="000000" w:themeColor="text1"/>
          <w:sz w:val="36"/>
          <w:szCs w:val="36"/>
        </w:rPr>
        <w:t>trasnacionales</w:t>
      </w:r>
    </w:p>
    <w:p w:rsidR="008B20E7" w:rsidRPr="00E51BEA" w:rsidRDefault="008B20E7" w:rsidP="003E052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E0528" w:rsidRPr="00E51BEA" w:rsidRDefault="003E0528" w:rsidP="003E0528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3E0528" w:rsidRPr="00E51BEA" w:rsidRDefault="003E0528" w:rsidP="003E052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2259C" w:rsidRPr="00E51BEA" w:rsidRDefault="0082259C" w:rsidP="003E052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Las 1 200 </w:t>
      </w:r>
      <w:r w:rsidR="00C9031F" w:rsidRPr="00E51BEA">
        <w:rPr>
          <w:rFonts w:ascii="Arial" w:hAnsi="Arial" w:cs="Arial"/>
          <w:color w:val="000000" w:themeColor="text1"/>
          <w:sz w:val="24"/>
          <w:szCs w:val="24"/>
        </w:rPr>
        <w:t xml:space="preserve">trasnacionales </w:t>
      </w:r>
      <w:r w:rsidR="00D2699C" w:rsidRPr="00E51BEA">
        <w:rPr>
          <w:rFonts w:ascii="Arial" w:hAnsi="Arial" w:cs="Arial"/>
          <w:color w:val="000000" w:themeColor="text1"/>
          <w:sz w:val="24"/>
          <w:szCs w:val="24"/>
        </w:rPr>
        <w:t xml:space="preserve">gigantes 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>de la aldea global se embolsaron 544 000 millones de dólares en el segundo trimestre del presente año, un nivel sin precedente impulsado, según expertos, por la rentabilidad del pe</w:t>
      </w:r>
      <w:r w:rsidR="00C9031F" w:rsidRPr="00E51BEA">
        <w:rPr>
          <w:rFonts w:ascii="Arial" w:hAnsi="Arial" w:cs="Arial"/>
          <w:color w:val="000000" w:themeColor="text1"/>
          <w:sz w:val="24"/>
          <w:szCs w:val="24"/>
        </w:rPr>
        <w:t>tróleo y del sector financiero.</w:t>
      </w:r>
    </w:p>
    <w:p w:rsidR="0082259C" w:rsidRPr="00E51BEA" w:rsidRDefault="0082259C" w:rsidP="00C9031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En agudo contraste, el hambre creció y hoy en día afecta a 345 millones de seres humanos de todas las edades y generaciones. Y la mayoría de la población </w:t>
      </w:r>
      <w:r w:rsidR="00ED32D0" w:rsidRPr="00E51BEA">
        <w:rPr>
          <w:rFonts w:ascii="Arial" w:hAnsi="Arial" w:cs="Arial"/>
          <w:color w:val="000000" w:themeColor="text1"/>
          <w:sz w:val="24"/>
          <w:szCs w:val="24"/>
        </w:rPr>
        <w:t>del orbe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padece la inflación más alta en décadas, lo que erosiona el poder adquisitivo de sus salarios e ingresos.</w:t>
      </w:r>
    </w:p>
    <w:p w:rsidR="002E5E91" w:rsidRPr="00E51BEA" w:rsidRDefault="00914450" w:rsidP="002E5E9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De acuerdo con el estudio de la firma británica y estadunidense 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Janus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Henderson Global 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Dividend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Index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, citado por la periodista Dora Villanueva, sobre las tendencias que presentan los dividendos en el </w:t>
      </w:r>
      <w:r w:rsidR="00ED32D0" w:rsidRPr="00E51BEA">
        <w:rPr>
          <w:rFonts w:ascii="Arial" w:hAnsi="Arial" w:cs="Arial"/>
          <w:color w:val="000000" w:themeColor="text1"/>
          <w:sz w:val="24"/>
          <w:szCs w:val="24"/>
        </w:rPr>
        <w:t>mundo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, muestra que el monto </w:t>
      </w:r>
      <w:r w:rsidR="002E5E91" w:rsidRPr="00E51BEA">
        <w:rPr>
          <w:rFonts w:ascii="Arial" w:hAnsi="Arial" w:cs="Arial"/>
          <w:color w:val="000000" w:themeColor="text1"/>
          <w:sz w:val="24"/>
          <w:szCs w:val="24"/>
        </w:rPr>
        <w:t>(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>544 000 millones de dólares</w:t>
      </w:r>
      <w:r w:rsidR="002E5E91" w:rsidRPr="00E51BEA">
        <w:rPr>
          <w:rFonts w:ascii="Arial" w:hAnsi="Arial" w:cs="Arial"/>
          <w:color w:val="000000" w:themeColor="text1"/>
          <w:sz w:val="24"/>
          <w:szCs w:val="24"/>
        </w:rPr>
        <w:t>)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implica un crecimiento anual de 11.3% en términos generales, pero su avance subyacente escaló a 19.1%.</w:t>
      </w:r>
      <w:r w:rsidR="002E5E91" w:rsidRPr="00E51BEA">
        <w:rPr>
          <w:rFonts w:ascii="Arial" w:hAnsi="Arial" w:cs="Arial"/>
          <w:color w:val="000000" w:themeColor="text1"/>
          <w:sz w:val="24"/>
          <w:szCs w:val="24"/>
        </w:rPr>
        <w:t xml:space="preserve"> No obstante, prevé que el reparto de ganancias al cierre de este año alcance 1.56 billones de dólares, un aumento de 5.8% en términos generales y 8.5% en subyacentes.</w:t>
      </w:r>
    </w:p>
    <w:p w:rsidR="00914450" w:rsidRPr="00E51BEA" w:rsidRDefault="00673B74" w:rsidP="00ED32D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>A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pesar de la </w:t>
      </w:r>
      <w:r w:rsidR="00ED32D0" w:rsidRPr="00E51BEA">
        <w:rPr>
          <w:rFonts w:ascii="Arial" w:hAnsi="Arial" w:cs="Arial"/>
          <w:color w:val="000000" w:themeColor="text1"/>
          <w:sz w:val="24"/>
          <w:szCs w:val="24"/>
        </w:rPr>
        <w:t xml:space="preserve">crisis 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>económica</w:t>
      </w:r>
      <w:r w:rsidR="00ED32D0" w:rsidRPr="00E51BEA">
        <w:rPr>
          <w:rFonts w:ascii="Arial" w:hAnsi="Arial" w:cs="Arial"/>
          <w:color w:val="000000" w:themeColor="text1"/>
          <w:sz w:val="24"/>
          <w:szCs w:val="24"/>
        </w:rPr>
        <w:t>,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causada por la </w:t>
      </w:r>
      <w:r w:rsidR="00C9031F" w:rsidRPr="00E51BEA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="00ED32D0" w:rsidRPr="00E51BEA">
        <w:rPr>
          <w:rFonts w:ascii="Arial" w:hAnsi="Arial" w:cs="Arial"/>
          <w:color w:val="000000" w:themeColor="text1"/>
          <w:sz w:val="24"/>
          <w:szCs w:val="24"/>
        </w:rPr>
        <w:t>crisis sanitaria del SARS-CoV-2 que genera la enfermedad covid-19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, los dividendos están por encima de su máximo previo al estallido de la </w:t>
      </w:r>
      <w:r w:rsidR="00ED32D0" w:rsidRPr="00E51BEA">
        <w:rPr>
          <w:rFonts w:ascii="Arial" w:hAnsi="Arial" w:cs="Arial"/>
          <w:color w:val="000000" w:themeColor="text1"/>
          <w:sz w:val="24"/>
          <w:szCs w:val="24"/>
        </w:rPr>
        <w:t>pandemia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>. En general, se recupera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>ron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con creces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>.</w:t>
      </w:r>
      <w:r w:rsidR="00ED32D0" w:rsidRPr="00E51B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>94</w:t>
      </w:r>
      <w:r w:rsidR="00ED32D0" w:rsidRPr="00E51BEA">
        <w:rPr>
          <w:rFonts w:ascii="Arial" w:hAnsi="Arial" w:cs="Arial"/>
          <w:color w:val="000000" w:themeColor="text1"/>
          <w:sz w:val="24"/>
          <w:szCs w:val="24"/>
        </w:rPr>
        <w:t>%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de las empresas incrementaron los pagos a sus accionistas o los mantuvieron, los sectores </w:t>
      </w:r>
      <w:r w:rsidR="00ED32D0" w:rsidRPr="00E51BEA">
        <w:rPr>
          <w:rFonts w:ascii="Arial" w:hAnsi="Arial" w:cs="Arial"/>
          <w:color w:val="000000" w:themeColor="text1"/>
          <w:sz w:val="24"/>
          <w:szCs w:val="24"/>
        </w:rPr>
        <w:t xml:space="preserve">petrolero, automotor y financieros fueron los 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que impulsaron el alza. </w:t>
      </w:r>
      <w:r w:rsidR="00C9031F" w:rsidRPr="00E51BEA">
        <w:rPr>
          <w:rFonts w:ascii="Arial" w:hAnsi="Arial" w:cs="Arial"/>
          <w:color w:val="000000" w:themeColor="text1"/>
          <w:sz w:val="24"/>
          <w:szCs w:val="24"/>
        </w:rPr>
        <w:t xml:space="preserve">Lo anterior, </w:t>
      </w:r>
      <w:r w:rsidR="00B722A2" w:rsidRPr="00E51BEA">
        <w:rPr>
          <w:rFonts w:ascii="Arial" w:hAnsi="Arial" w:cs="Arial"/>
          <w:color w:val="000000" w:themeColor="text1"/>
          <w:sz w:val="24"/>
          <w:szCs w:val="24"/>
        </w:rPr>
        <w:t>después de</w:t>
      </w:r>
      <w:r w:rsidR="00C9031F" w:rsidRPr="00E51BEA">
        <w:rPr>
          <w:rFonts w:ascii="Arial" w:hAnsi="Arial" w:cs="Arial"/>
          <w:color w:val="000000" w:themeColor="text1"/>
          <w:sz w:val="24"/>
          <w:szCs w:val="24"/>
        </w:rPr>
        <w:t>l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2021 </w:t>
      </w:r>
      <w:r w:rsidR="00C9031F" w:rsidRPr="00E51BEA">
        <w:rPr>
          <w:rFonts w:ascii="Arial" w:hAnsi="Arial" w:cs="Arial"/>
          <w:color w:val="000000" w:themeColor="text1"/>
          <w:sz w:val="24"/>
          <w:szCs w:val="24"/>
        </w:rPr>
        <w:t xml:space="preserve">demasiado 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>rentable, en el que l</w:t>
      </w:r>
      <w:r w:rsidR="00B722A2" w:rsidRPr="00E51BEA">
        <w:rPr>
          <w:rFonts w:ascii="Arial" w:hAnsi="Arial" w:cs="Arial"/>
          <w:color w:val="000000" w:themeColor="text1"/>
          <w:sz w:val="24"/>
          <w:szCs w:val="24"/>
        </w:rPr>
        <w:t>a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B722A2" w:rsidRPr="00E51BEA">
        <w:rPr>
          <w:rFonts w:ascii="Arial" w:hAnsi="Arial" w:cs="Arial"/>
          <w:color w:val="000000" w:themeColor="text1"/>
          <w:sz w:val="24"/>
          <w:szCs w:val="24"/>
        </w:rPr>
        <w:t xml:space="preserve">trasnacionales </w:t>
      </w:r>
      <w:r w:rsidR="00C9031F" w:rsidRPr="00E51BEA">
        <w:rPr>
          <w:rFonts w:ascii="Arial" w:hAnsi="Arial" w:cs="Arial"/>
          <w:color w:val="000000" w:themeColor="text1"/>
          <w:sz w:val="24"/>
          <w:szCs w:val="24"/>
        </w:rPr>
        <w:t>que dominan el orbe</w:t>
      </w:r>
      <w:r w:rsidR="00B722A2" w:rsidRPr="00E51B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disfrutaron de un aumento de las ventas y de la ampliación de los márgenes de beneficio gracias a un auge de la demanda </w:t>
      </w:r>
      <w:r w:rsidR="00B722A2" w:rsidRPr="00E51BEA">
        <w:rPr>
          <w:rFonts w:ascii="Arial" w:hAnsi="Arial" w:cs="Arial"/>
          <w:color w:val="000000" w:themeColor="text1"/>
          <w:sz w:val="24"/>
          <w:szCs w:val="24"/>
        </w:rPr>
        <w:t xml:space="preserve">después de 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>la pandemia.</w:t>
      </w:r>
    </w:p>
    <w:p w:rsidR="00914450" w:rsidRPr="00E51BEA" w:rsidRDefault="00C9031F" w:rsidP="00C9031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>E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l mayor flujo de efectivo por los elevados precios del crudo hizo que las petroleras contribuyeran 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>con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más de 40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>%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al crecimiento de los repartos en el segundo trimestre. L</w:t>
      </w:r>
      <w:r w:rsidR="002E5E91" w:rsidRPr="00E51BEA">
        <w:rPr>
          <w:rFonts w:ascii="Arial" w:hAnsi="Arial" w:cs="Arial"/>
          <w:color w:val="000000" w:themeColor="text1"/>
          <w:sz w:val="24"/>
          <w:szCs w:val="24"/>
        </w:rPr>
        <w:t>o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2E5E91" w:rsidRPr="00E51BEA">
        <w:rPr>
          <w:rFonts w:ascii="Arial" w:hAnsi="Arial" w:cs="Arial"/>
          <w:color w:val="000000" w:themeColor="text1"/>
          <w:sz w:val="24"/>
          <w:szCs w:val="24"/>
        </w:rPr>
        <w:t xml:space="preserve">corporativos 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>privad</w:t>
      </w:r>
      <w:r w:rsidR="002E5E91" w:rsidRPr="00E51BEA">
        <w:rPr>
          <w:rFonts w:ascii="Arial" w:hAnsi="Arial" w:cs="Arial"/>
          <w:color w:val="000000" w:themeColor="text1"/>
          <w:sz w:val="24"/>
          <w:szCs w:val="24"/>
        </w:rPr>
        <w:t>o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>s y semiprivad</w:t>
      </w:r>
      <w:r w:rsidR="002E5E91" w:rsidRPr="00E51BEA">
        <w:rPr>
          <w:rFonts w:ascii="Arial" w:hAnsi="Arial" w:cs="Arial"/>
          <w:color w:val="000000" w:themeColor="text1"/>
          <w:sz w:val="24"/>
          <w:szCs w:val="24"/>
        </w:rPr>
        <w:t>o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s que encabezaron estos beneficios 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>son</w:t>
      </w:r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Petróleo Brasileiro (público-privada), Nestlé, Rio Tinto, China Mobile </w:t>
      </w:r>
      <w:proofErr w:type="spellStart"/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>Limited</w:t>
      </w:r>
      <w:proofErr w:type="spellEnd"/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y Mercedes-Benz </w:t>
      </w:r>
      <w:proofErr w:type="spellStart"/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>Group</w:t>
      </w:r>
      <w:proofErr w:type="spellEnd"/>
      <w:r w:rsidR="00914450" w:rsidRPr="00E51BEA">
        <w:rPr>
          <w:rFonts w:ascii="Arial" w:hAnsi="Arial" w:cs="Arial"/>
          <w:color w:val="000000" w:themeColor="text1"/>
          <w:sz w:val="24"/>
          <w:szCs w:val="24"/>
        </w:rPr>
        <w:t xml:space="preserve"> AG.</w:t>
      </w:r>
    </w:p>
    <w:p w:rsidR="00503655" w:rsidRPr="00E51BEA" w:rsidRDefault="00503655" w:rsidP="00031E8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El festín del gran capital por su embolso de 554 </w:t>
      </w:r>
      <w:r w:rsidR="00E51BEA" w:rsidRPr="00E51BEA">
        <w:rPr>
          <w:rFonts w:ascii="Arial" w:hAnsi="Arial" w:cs="Arial"/>
          <w:color w:val="000000" w:themeColor="text1"/>
          <w:sz w:val="24"/>
          <w:szCs w:val="24"/>
        </w:rPr>
        <w:t xml:space="preserve">000 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millones de dólares en </w:t>
      </w:r>
      <w:r w:rsidR="00E51BEA" w:rsidRPr="00E51BEA">
        <w:rPr>
          <w:rFonts w:ascii="Arial" w:hAnsi="Arial" w:cs="Arial"/>
          <w:color w:val="000000" w:themeColor="text1"/>
          <w:sz w:val="24"/>
          <w:szCs w:val="24"/>
        </w:rPr>
        <w:t>sól</w:t>
      </w:r>
      <w:r w:rsidR="00031E83">
        <w:rPr>
          <w:rFonts w:ascii="Arial" w:hAnsi="Arial" w:cs="Arial"/>
          <w:color w:val="000000" w:themeColor="text1"/>
          <w:sz w:val="24"/>
          <w:szCs w:val="24"/>
        </w:rPr>
        <w:t>o</w:t>
      </w:r>
      <w:r w:rsidR="00E51BEA" w:rsidRPr="00E51B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2699C" w:rsidRPr="00E51BEA">
        <w:rPr>
          <w:rFonts w:ascii="Arial" w:hAnsi="Arial" w:cs="Arial"/>
          <w:color w:val="000000" w:themeColor="text1"/>
          <w:sz w:val="24"/>
          <w:szCs w:val="24"/>
        </w:rPr>
        <w:t>tres meses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tiene como antecedente otro, el de las trasnacionales farmacéuticas que en plena pandemia elevaron su valor bursátil en 274 </w:t>
      </w:r>
      <w:r w:rsidR="00E51BEA" w:rsidRPr="00E51BEA">
        <w:rPr>
          <w:rFonts w:ascii="Arial" w:hAnsi="Arial" w:cs="Arial"/>
          <w:color w:val="000000" w:themeColor="text1"/>
          <w:sz w:val="24"/>
          <w:szCs w:val="24"/>
        </w:rPr>
        <w:t>000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millones de dólares tras 2.5 años de pandemia, en tanto que fallecieron </w:t>
      </w:r>
      <w:r w:rsidR="008F6B51" w:rsidRPr="00E51BEA">
        <w:rPr>
          <w:rFonts w:ascii="Arial" w:hAnsi="Arial" w:cs="Arial"/>
          <w:color w:val="000000" w:themeColor="text1"/>
          <w:sz w:val="24"/>
          <w:szCs w:val="24"/>
        </w:rPr>
        <w:t>hasta entonces más de 5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millones de personas y otros 100 millones ca</w:t>
      </w:r>
      <w:r w:rsidR="00E51BEA" w:rsidRPr="00E51BEA">
        <w:rPr>
          <w:rFonts w:ascii="Arial" w:hAnsi="Arial" w:cs="Arial"/>
          <w:color w:val="000000" w:themeColor="text1"/>
          <w:sz w:val="24"/>
          <w:szCs w:val="24"/>
        </w:rPr>
        <w:t>yeron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en la pobreza extrema</w:t>
      </w:r>
      <w:r w:rsidR="00D2699C" w:rsidRPr="00E51BE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03655" w:rsidRPr="00E51BEA" w:rsidRDefault="003B1E01" w:rsidP="003B1E0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>Desde</w:t>
      </w:r>
      <w:r w:rsidR="008F6B51" w:rsidRPr="00E51B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03655" w:rsidRPr="00E51BEA">
        <w:rPr>
          <w:rFonts w:ascii="Arial" w:hAnsi="Arial" w:cs="Arial"/>
          <w:color w:val="000000" w:themeColor="text1"/>
          <w:sz w:val="24"/>
          <w:szCs w:val="24"/>
        </w:rPr>
        <w:t>finales del primer trimestre de 2020, es decir, al inicio de la pandemia</w:t>
      </w:r>
      <w:r w:rsidR="008F6B51" w:rsidRPr="00E51BEA">
        <w:rPr>
          <w:rFonts w:ascii="Arial" w:hAnsi="Arial" w:cs="Arial"/>
          <w:color w:val="000000" w:themeColor="text1"/>
          <w:sz w:val="24"/>
          <w:szCs w:val="24"/>
        </w:rPr>
        <w:t xml:space="preserve"> al 9 de agosto</w:t>
      </w:r>
      <w:r w:rsidR="00503655" w:rsidRPr="00E51BEA">
        <w:rPr>
          <w:rFonts w:ascii="Arial" w:hAnsi="Arial" w:cs="Arial"/>
          <w:color w:val="000000" w:themeColor="text1"/>
          <w:sz w:val="24"/>
          <w:szCs w:val="24"/>
        </w:rPr>
        <w:t>, las siete gigantes farmacéuticas multinacionales dispara</w:t>
      </w:r>
      <w:r w:rsidR="008F6B51" w:rsidRPr="00E51BEA">
        <w:rPr>
          <w:rFonts w:ascii="Arial" w:hAnsi="Arial" w:cs="Arial"/>
          <w:color w:val="000000" w:themeColor="text1"/>
          <w:sz w:val="24"/>
          <w:szCs w:val="24"/>
        </w:rPr>
        <w:t xml:space="preserve">ron </w:t>
      </w:r>
      <w:r w:rsidR="00503655" w:rsidRPr="00E51BEA">
        <w:rPr>
          <w:rFonts w:ascii="Arial" w:hAnsi="Arial" w:cs="Arial"/>
          <w:color w:val="000000" w:themeColor="text1"/>
          <w:sz w:val="24"/>
          <w:szCs w:val="24"/>
        </w:rPr>
        <w:t xml:space="preserve">su valor bursátil en más de 274 </w:t>
      </w:r>
      <w:r w:rsidR="00E51BEA" w:rsidRPr="00E51BEA">
        <w:rPr>
          <w:rFonts w:ascii="Arial" w:hAnsi="Arial" w:cs="Arial"/>
          <w:color w:val="000000" w:themeColor="text1"/>
          <w:sz w:val="24"/>
          <w:szCs w:val="24"/>
        </w:rPr>
        <w:t>000</w:t>
      </w:r>
      <w:r w:rsidR="00503655" w:rsidRPr="00E51BEA">
        <w:rPr>
          <w:rFonts w:ascii="Arial" w:hAnsi="Arial" w:cs="Arial"/>
          <w:color w:val="000000" w:themeColor="text1"/>
          <w:sz w:val="24"/>
          <w:szCs w:val="24"/>
        </w:rPr>
        <w:t xml:space="preserve"> millones de dólares, equivalentes a 5 billones 700 </w:t>
      </w:r>
      <w:r w:rsidR="00E51BEA" w:rsidRPr="00E51BEA">
        <w:rPr>
          <w:rFonts w:ascii="Arial" w:hAnsi="Arial" w:cs="Arial"/>
          <w:color w:val="000000" w:themeColor="text1"/>
          <w:sz w:val="24"/>
          <w:szCs w:val="24"/>
        </w:rPr>
        <w:t>000</w:t>
      </w:r>
      <w:r w:rsidR="00503655" w:rsidRPr="00E51BEA">
        <w:rPr>
          <w:rFonts w:ascii="Arial" w:hAnsi="Arial" w:cs="Arial"/>
          <w:color w:val="000000" w:themeColor="text1"/>
          <w:sz w:val="24"/>
          <w:szCs w:val="24"/>
        </w:rPr>
        <w:t xml:space="preserve"> millones de pesos</w:t>
      </w:r>
      <w:r w:rsidR="008B20E7" w:rsidRPr="00E51BE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03655" w:rsidRPr="00E51BEA" w:rsidRDefault="00503655" w:rsidP="008F6B5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Cifras de la bolsa indican que en marzo de 2020 el valor que tenían Johnson &amp; Johnson, Pfizer, 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AstraZeneca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, Moderna, 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BioNTech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Novavax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CanSino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era de 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686 900 millones de dólares (14.4 billones de pesos), mientras </w:t>
      </w:r>
      <w:r w:rsidR="003B1E01" w:rsidRPr="00E51BEA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>ahora es de 961 270 millones de dólares (20.1 billones de pesos).</w:t>
      </w:r>
    </w:p>
    <w:p w:rsidR="008F6B51" w:rsidRPr="00E51BEA" w:rsidRDefault="00503655" w:rsidP="008F6B5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El valor de estas </w:t>
      </w:r>
      <w:r w:rsidR="003B1E01" w:rsidRPr="00E51BEA">
        <w:rPr>
          <w:rFonts w:ascii="Arial" w:hAnsi="Arial" w:cs="Arial"/>
          <w:color w:val="000000" w:themeColor="text1"/>
          <w:sz w:val="24"/>
          <w:szCs w:val="24"/>
        </w:rPr>
        <w:t xml:space="preserve">trasnacionales 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>se disparó inmediatamente cuando se declaró la pandemia de coronavirus, en un momento en el que no existían vacunas, lo que implica que se debió a la mera especulación de los inversionistas.</w:t>
      </w:r>
      <w:r w:rsidR="008F6B51" w:rsidRPr="00E51BEA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3B1E01" w:rsidRPr="00E51BEA">
        <w:rPr>
          <w:rFonts w:ascii="Arial" w:hAnsi="Arial" w:cs="Arial"/>
          <w:color w:val="000000" w:themeColor="text1"/>
          <w:sz w:val="24"/>
          <w:szCs w:val="24"/>
        </w:rPr>
        <w:t xml:space="preserve">además </w:t>
      </w:r>
      <w:r w:rsidR="008F6B51" w:rsidRPr="00E51BEA">
        <w:rPr>
          <w:rFonts w:ascii="Arial" w:hAnsi="Arial" w:cs="Arial"/>
          <w:color w:val="000000" w:themeColor="text1"/>
          <w:sz w:val="24"/>
          <w:szCs w:val="24"/>
        </w:rPr>
        <w:t>con significativos apoyos por parte de los gobiernos desarrollaron las vacunas, lo que incrementó sus ventas de manera significativa e impulsó el precio de sus respectivas acciones, que a su vez se reflejó en un mayor valor de mercado.</w:t>
      </w:r>
    </w:p>
    <w:p w:rsidR="008F6B51" w:rsidRPr="00E51BEA" w:rsidRDefault="008F6B51" w:rsidP="008F6B5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>Este es el modelo macroeconómico que todavía defienden y promueven los intelectuales orgánicos mexicanos.</w:t>
      </w:r>
    </w:p>
    <w:p w:rsidR="003E0528" w:rsidRPr="00E51BEA" w:rsidRDefault="003E0528" w:rsidP="003E0528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b/>
          <w:color w:val="000000" w:themeColor="text1"/>
          <w:sz w:val="24"/>
          <w:szCs w:val="24"/>
        </w:rPr>
        <w:t>Acuse de recibo</w:t>
      </w:r>
    </w:p>
    <w:p w:rsidR="007140A6" w:rsidRPr="00E51BEA" w:rsidRDefault="003E0528" w:rsidP="003E052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Layda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Sansores exhibió a Lorenzo Córdova en sus relaciones de complicidad política con Alejandro Moreno, presidente del PRI, en el Martes del Jaguar (24-VIII-22). Le comparto el enlace al video donde la gobernadora de Campeche documenta en los últimos 10-15 minutos que el presidente del INE no es ningún “arbitro”, negocia favores con el Revolucionario Institucional y </w:t>
      </w:r>
      <w:r w:rsidR="003B1E01" w:rsidRPr="00E51BEA">
        <w:rPr>
          <w:rFonts w:ascii="Arial" w:hAnsi="Arial" w:cs="Arial"/>
          <w:color w:val="000000" w:themeColor="text1"/>
          <w:sz w:val="24"/>
          <w:szCs w:val="24"/>
        </w:rPr>
        <w:t>Moreno</w:t>
      </w: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se los cobró muy bien… Pillado con las manos en la puerta, Córdova 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Vianello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se justificó en Twitter: “A ningún demócrata debería sorprender que la autoridad electoral mantenga comunicación con dirigentes partidistas. Es lo normal y obligado en democracia. Como consejero presidente del @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INEMexico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 he tenido, tengo y seguiré teniendo comunicación con TODAS las fuerzas políticas”... Las respuestas fueron muchas, destaco una: “Hernán Gómez 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Bruera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>. @</w:t>
      </w:r>
      <w:proofErr w:type="spellStart"/>
      <w:r w:rsidRPr="00E51BEA">
        <w:rPr>
          <w:rFonts w:ascii="Arial" w:hAnsi="Arial" w:cs="Arial"/>
          <w:color w:val="000000" w:themeColor="text1"/>
          <w:sz w:val="24"/>
          <w:szCs w:val="24"/>
        </w:rPr>
        <w:t>HernanGomezB</w:t>
      </w:r>
      <w:proofErr w:type="spellEnd"/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. No te confundas, Lorenzo, eso no implica tener relaciones de complicidad y compadrazgo, como las que sugieren las comunicaciones que se dieron a conocer ayer y que evidentemente son fiel reflejo de la realidad, pues no has salido a negar las palabras que todos leímos ayer”... </w:t>
      </w:r>
      <w:hyperlink r:id="rId4" w:history="1">
        <w:r w:rsidR="007140A6" w:rsidRPr="00E51BEA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https://twitter.com/LaydaSansores/status/1562243699345690624</w:t>
        </w:r>
      </w:hyperlink>
      <w:r w:rsidR="007140A6" w:rsidRPr="00E51BEA">
        <w:rPr>
          <w:rFonts w:ascii="Arial" w:hAnsi="Arial" w:cs="Arial"/>
          <w:color w:val="000000" w:themeColor="text1"/>
          <w:sz w:val="24"/>
          <w:szCs w:val="24"/>
        </w:rPr>
        <w:t>...</w:t>
      </w:r>
    </w:p>
    <w:p w:rsidR="003E0528" w:rsidRPr="00E51BEA" w:rsidRDefault="003E0528" w:rsidP="003E052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1BEA">
        <w:rPr>
          <w:rFonts w:ascii="Arial" w:hAnsi="Arial" w:cs="Arial"/>
          <w:color w:val="000000" w:themeColor="text1"/>
          <w:sz w:val="24"/>
          <w:szCs w:val="24"/>
        </w:rPr>
        <w:t xml:space="preserve">Enlace a la columna Indicador Político, de Carlos Javier Ramírez Hernández,  </w:t>
      </w:r>
      <w:hyperlink r:id="rId5" w:history="1">
        <w:r w:rsidR="007140A6" w:rsidRPr="00E51BEA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https://www.analisisafondo.com/opinion/item/49429-otto-granados-%E2%80%9Caristegui-fue-mi-empleada-en-el-pri-de-salinas%E2%80%9D</w:t>
        </w:r>
      </w:hyperlink>
    </w:p>
    <w:p w:rsidR="00CE3361" w:rsidRPr="00E51BEA" w:rsidRDefault="003E0528" w:rsidP="003E0528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E51BEA">
        <w:rPr>
          <w:rFonts w:ascii="Arial" w:hAnsi="Arial" w:cs="Arial"/>
          <w:color w:val="000000" w:themeColor="text1"/>
          <w:sz w:val="16"/>
          <w:szCs w:val="16"/>
        </w:rPr>
        <w:t xml:space="preserve">http://www.forumenlinea.com/    forum@forumenlinea.com    </w:t>
      </w:r>
      <w:proofErr w:type="spellStart"/>
      <w:r w:rsidRPr="00E51BEA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CE3361" w:rsidRPr="00E51BE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528"/>
    <w:rsid w:val="00031E83"/>
    <w:rsid w:val="002E5E91"/>
    <w:rsid w:val="003B1E01"/>
    <w:rsid w:val="003E0528"/>
    <w:rsid w:val="00503655"/>
    <w:rsid w:val="00673B74"/>
    <w:rsid w:val="00695D61"/>
    <w:rsid w:val="007140A6"/>
    <w:rsid w:val="0082259C"/>
    <w:rsid w:val="008B20E7"/>
    <w:rsid w:val="008F6B51"/>
    <w:rsid w:val="00914450"/>
    <w:rsid w:val="00B722A2"/>
    <w:rsid w:val="00C06E70"/>
    <w:rsid w:val="00C9031F"/>
    <w:rsid w:val="00CE3361"/>
    <w:rsid w:val="00D2699C"/>
    <w:rsid w:val="00E51BEA"/>
    <w:rsid w:val="00E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7FBAB1-B188-47F1-B5D8-70F801680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140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nalisisafondo.com/opinion/item/49429-otto-granados-%E2%80%9Caristegui-fue-mi-empleada-en-el-pri-de-salinas%E2%80%9D" TargetMode="External"/><Relationship Id="rId4" Type="http://schemas.openxmlformats.org/officeDocument/2006/relationships/hyperlink" Target="https://twitter.com/LaydaSansores/status/156224369934569062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821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2022-08-25T17:01:00Z</dcterms:created>
  <dcterms:modified xsi:type="dcterms:W3CDTF">2022-08-30T02:18:00Z</dcterms:modified>
</cp:coreProperties>
</file>