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D92" w:rsidRPr="00837C97" w:rsidRDefault="000C6D92" w:rsidP="000C6D92">
      <w:pPr>
        <w:rPr>
          <w:rFonts w:ascii="Arial" w:hAnsi="Arial" w:cs="Arial"/>
          <w:color w:val="000000" w:themeColor="text1"/>
          <w:sz w:val="28"/>
          <w:szCs w:val="28"/>
        </w:rPr>
      </w:pPr>
      <w:r w:rsidRPr="00837C9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C6D92" w:rsidRPr="00837C97" w:rsidRDefault="000C6D92" w:rsidP="000C6D92">
      <w:pPr>
        <w:rPr>
          <w:rFonts w:ascii="Arial" w:hAnsi="Arial" w:cs="Arial"/>
          <w:color w:val="000000" w:themeColor="text1"/>
        </w:rPr>
      </w:pPr>
    </w:p>
    <w:p w:rsidR="00D30357" w:rsidRPr="00837C97" w:rsidRDefault="00D30357" w:rsidP="00D3035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37C97">
        <w:rPr>
          <w:rFonts w:ascii="Arial" w:hAnsi="Arial" w:cs="Arial"/>
          <w:b/>
          <w:color w:val="000000" w:themeColor="text1"/>
          <w:sz w:val="36"/>
          <w:szCs w:val="36"/>
        </w:rPr>
        <w:t>El informe de Piedra Ibarra</w:t>
      </w:r>
    </w:p>
    <w:p w:rsidR="00D30357" w:rsidRPr="00837C97" w:rsidRDefault="00D30357" w:rsidP="000C6D92">
      <w:pPr>
        <w:rPr>
          <w:rFonts w:ascii="Arial" w:hAnsi="Arial" w:cs="Arial"/>
          <w:color w:val="000000" w:themeColor="text1"/>
        </w:rPr>
      </w:pPr>
    </w:p>
    <w:p w:rsidR="000C6D92" w:rsidRPr="00837C97" w:rsidRDefault="000C6D92" w:rsidP="000C6D92">
      <w:pPr>
        <w:rPr>
          <w:rFonts w:ascii="Arial" w:hAnsi="Arial" w:cs="Arial"/>
          <w:b/>
          <w:color w:val="000000" w:themeColor="text1"/>
        </w:rPr>
      </w:pPr>
      <w:r w:rsidRPr="00837C97">
        <w:rPr>
          <w:rFonts w:ascii="Arial" w:hAnsi="Arial" w:cs="Arial"/>
          <w:b/>
          <w:color w:val="000000" w:themeColor="text1"/>
        </w:rPr>
        <w:t>Eduardo Ibarra Aguirre</w:t>
      </w:r>
    </w:p>
    <w:p w:rsidR="000C6D92" w:rsidRPr="00837C97" w:rsidRDefault="000C6D92" w:rsidP="000C6D92">
      <w:pPr>
        <w:rPr>
          <w:rFonts w:ascii="Arial" w:hAnsi="Arial" w:cs="Arial"/>
          <w:b/>
          <w:color w:val="000000" w:themeColor="text1"/>
        </w:rPr>
      </w:pPr>
    </w:p>
    <w:p w:rsidR="00943B2D" w:rsidRPr="00837C97" w:rsidRDefault="00943B2D" w:rsidP="007756BA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Si la </w:t>
      </w:r>
      <w:proofErr w:type="spellStart"/>
      <w:r w:rsidRPr="00837C97">
        <w:rPr>
          <w:rFonts w:ascii="Arial" w:eastAsiaTheme="minorHAnsi" w:hAnsi="Arial" w:cs="Arial"/>
          <w:color w:val="000000" w:themeColor="text1"/>
          <w:lang w:eastAsia="en-US"/>
        </w:rPr>
        <w:t>numeralia</w:t>
      </w:r>
      <w:proofErr w:type="spellEnd"/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que ofreció Rosario Piedra corresponde a su actuación al frente de la Comisión Nacional de los Derechos Humanos durante 2021 y carezco de otros datos para poner</w:t>
      </w:r>
      <w:r w:rsidR="000B4E90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>en duda</w:t>
      </w:r>
      <w:r w:rsidR="000B4E90" w:rsidRPr="00837C9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entonces son significativos.</w:t>
      </w:r>
    </w:p>
    <w:p w:rsidR="002219B2" w:rsidRPr="00837C97" w:rsidRDefault="00943B2D" w:rsidP="000B4E9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Y lo son más si </w:t>
      </w:r>
      <w:r w:rsidR="000B4E90" w:rsidRPr="00837C97">
        <w:rPr>
          <w:rFonts w:ascii="Arial" w:eastAsiaTheme="minorHAnsi" w:hAnsi="Arial" w:cs="Arial"/>
          <w:color w:val="000000" w:themeColor="text1"/>
          <w:lang w:eastAsia="en-US"/>
        </w:rPr>
        <w:t>recordamos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que el proceso para su elección fue accidentado, gracias a la oposición dogmática y beligerante de los senadores de Acción Nacional que hicieron lo indecible para impedirlo</w:t>
      </w:r>
      <w:r w:rsidR="002219B2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, incluso 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>Gustavo Madero usó la fuerza física para bloquear la sesión, aprovechando que estaba lisiado de un brazo.</w:t>
      </w:r>
      <w:r w:rsidR="002219B2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Hoy el chihuahuense es senador </w:t>
      </w:r>
      <w:r w:rsidR="002219B2" w:rsidRPr="00837C97">
        <w:rPr>
          <w:rFonts w:ascii="Arial" w:eastAsiaTheme="minorHAnsi" w:hAnsi="Arial" w:cs="Arial"/>
          <w:i/>
          <w:color w:val="000000" w:themeColor="text1"/>
          <w:lang w:eastAsia="en-US"/>
        </w:rPr>
        <w:t>independiente</w:t>
      </w:r>
      <w:r w:rsidR="002219B2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tras el fracaso que cosechó como precandidato panista a gobernador con el apoyo faccioso de Javier Corral.</w:t>
      </w:r>
    </w:p>
    <w:p w:rsidR="00943B2D" w:rsidRPr="00837C97" w:rsidRDefault="002219B2" w:rsidP="00D3035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El hecho es que Piedra Ibarra fue electa (7-XI-19) por </w:t>
      </w:r>
      <w:r w:rsidR="00925F6A" w:rsidRPr="00837C97">
        <w:rPr>
          <w:rFonts w:ascii="Arial" w:eastAsiaTheme="minorHAnsi" w:hAnsi="Arial" w:cs="Arial"/>
          <w:color w:val="000000" w:themeColor="text1"/>
          <w:lang w:eastAsia="en-US"/>
        </w:rPr>
        <w:t>el Senado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por 76 votos de un total de 114 emitidos, para encabezar el órgano autónomo durante 2019-24. Atrás quedaron cinco mociones para reponer el proceso, negociaciones en lo oscurito con las oposiciones y la renuncia de consejeros ciudadanos </w:t>
      </w:r>
      <w:r w:rsidR="00274CF5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de la CNDH 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que pronto mostraron el diente al figurar como candidatos de Movimiento Ciudadano, el partido de Dante Delgado, </w:t>
      </w:r>
      <w:r w:rsidR="00274CF5" w:rsidRPr="00837C97">
        <w:rPr>
          <w:rFonts w:ascii="Arial" w:eastAsiaTheme="minorHAnsi" w:hAnsi="Arial" w:cs="Arial"/>
          <w:color w:val="000000" w:themeColor="text1"/>
          <w:lang w:eastAsia="en-US"/>
        </w:rPr>
        <w:t>a cargos de elección popular.</w:t>
      </w:r>
    </w:p>
    <w:p w:rsidR="00274CF5" w:rsidRPr="00837C97" w:rsidRDefault="00274CF5" w:rsidP="00D3035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En la </w:t>
      </w:r>
      <w:r w:rsidR="00D30357" w:rsidRPr="00837C97">
        <w:rPr>
          <w:rFonts w:ascii="Arial" w:eastAsiaTheme="minorHAnsi" w:hAnsi="Arial" w:cs="Arial"/>
          <w:color w:val="000000" w:themeColor="text1"/>
          <w:lang w:eastAsia="en-US"/>
        </w:rPr>
        <w:t>estadística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proporcionada por la </w:t>
      </w:r>
      <w:r w:rsidR="00B93AEF" w:rsidRPr="00837C97">
        <w:rPr>
          <w:rFonts w:ascii="Arial" w:eastAsiaTheme="minorHAnsi" w:hAnsi="Arial" w:cs="Arial"/>
          <w:color w:val="000000" w:themeColor="text1"/>
          <w:lang w:eastAsia="en-US"/>
        </w:rPr>
        <w:t>psicopedagoga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30357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María del Rosario 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destaca </w:t>
      </w:r>
      <w:r w:rsidRPr="007756BA">
        <w:rPr>
          <w:rFonts w:ascii="Arial" w:eastAsiaTheme="minorHAnsi" w:hAnsi="Arial" w:cs="Arial"/>
          <w:color w:val="000000" w:themeColor="text1"/>
          <w:lang w:eastAsia="en-US"/>
        </w:rPr>
        <w:t>que en 2021 la CNDH emitió 155 instrumentos recomendatorios, 53 más que e</w:t>
      </w:r>
      <w:r w:rsidR="00B93AEF" w:rsidRPr="00837C97">
        <w:rPr>
          <w:rFonts w:ascii="Arial" w:eastAsiaTheme="minorHAnsi" w:hAnsi="Arial" w:cs="Arial"/>
          <w:color w:val="000000" w:themeColor="text1"/>
          <w:lang w:eastAsia="en-US"/>
        </w:rPr>
        <w:t>n 2020</w:t>
      </w:r>
      <w:r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, y el más alto número de recomendaciones emitidas desde que es organismo constitucional autónomo. De ese total, 146 fueron particulares, siete por violaciones graves y dos recomendaciones generales. 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omo resultado de ello, se atendió a 22 994 víctimas. 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Pr="007756BA">
        <w:rPr>
          <w:rFonts w:ascii="Arial" w:eastAsiaTheme="minorHAnsi" w:hAnsi="Arial" w:cs="Arial"/>
          <w:color w:val="000000" w:themeColor="text1"/>
          <w:lang w:eastAsia="en-US"/>
        </w:rPr>
        <w:t>present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 115 demandas de acciones de inconstitucionalidad.</w:t>
      </w:r>
    </w:p>
    <w:p w:rsidR="00AA23D1" w:rsidRPr="007756BA" w:rsidRDefault="00B93AEF" w:rsidP="00B93AE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37C97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AA23D1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o anterior respaldado 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>con la</w:t>
      </w:r>
      <w:r w:rsidR="00E84135" w:rsidRPr="00837C97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tesis </w:t>
      </w:r>
      <w:r w:rsidR="00AA23D1" w:rsidRPr="00837C97">
        <w:rPr>
          <w:rFonts w:ascii="Arial" w:eastAsiaTheme="minorHAnsi" w:hAnsi="Arial" w:cs="Arial"/>
          <w:color w:val="000000" w:themeColor="text1"/>
          <w:lang w:eastAsia="en-US"/>
        </w:rPr>
        <w:t>de que “</w:t>
      </w:r>
      <w:r w:rsidR="00AA23D1" w:rsidRPr="007756BA">
        <w:rPr>
          <w:rFonts w:ascii="Arial" w:eastAsiaTheme="minorHAnsi" w:hAnsi="Arial" w:cs="Arial"/>
          <w:color w:val="000000" w:themeColor="text1"/>
          <w:lang w:eastAsia="en-US"/>
        </w:rPr>
        <w:t>hoy no se emiten recomendaciones a modo o acordadas con la autoridad</w:t>
      </w:r>
      <w:r w:rsidR="00AA23D1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” </w:t>
      </w:r>
      <w:r w:rsidR="004B2A0B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y, </w:t>
      </w:r>
      <w:r w:rsidR="00AA23D1" w:rsidRPr="00837C97">
        <w:rPr>
          <w:rFonts w:ascii="Arial" w:eastAsiaTheme="minorHAnsi" w:hAnsi="Arial" w:cs="Arial"/>
          <w:color w:val="000000" w:themeColor="text1"/>
          <w:lang w:eastAsia="en-US"/>
        </w:rPr>
        <w:t>además</w:t>
      </w:r>
      <w:r w:rsidR="004B2A0B" w:rsidRPr="00837C9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A23D1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de que “</w:t>
      </w:r>
      <w:r w:rsidR="00AA23D1" w:rsidRPr="007756BA">
        <w:rPr>
          <w:rFonts w:ascii="Arial" w:eastAsiaTheme="minorHAnsi" w:hAnsi="Arial" w:cs="Arial"/>
          <w:color w:val="000000" w:themeColor="text1"/>
          <w:lang w:eastAsia="en-US"/>
        </w:rPr>
        <w:t>a pesar de la brutal campaña mediática que enfrentan, al pueblo no se le engaña, todas nuestras acciones han sido orientadas en beneficio de las víctimas</w:t>
      </w:r>
      <w:r w:rsidR="00AA23D1" w:rsidRPr="00837C9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AA23D1" w:rsidRPr="007756B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97600" w:rsidRPr="007756BA" w:rsidRDefault="00AA23D1" w:rsidP="00B9760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Esto porque durante la sesión virtual de la Comisión Permanente del Congreso, realizada el </w:t>
      </w:r>
      <w:r w:rsidR="004B2A0B" w:rsidRPr="00837C97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="007A00E3" w:rsidRPr="00837C97">
        <w:rPr>
          <w:rFonts w:ascii="Arial" w:eastAsiaTheme="minorHAnsi" w:hAnsi="Arial" w:cs="Arial"/>
          <w:color w:val="000000" w:themeColor="text1"/>
          <w:lang w:eastAsia="en-US"/>
        </w:rPr>
        <w:t>artes</w:t>
      </w:r>
      <w:r w:rsidR="004B2A0B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>2</w:t>
      </w:r>
      <w:r w:rsidR="007A00E3" w:rsidRPr="00837C97">
        <w:rPr>
          <w:rFonts w:ascii="Arial" w:eastAsiaTheme="minorHAnsi" w:hAnsi="Arial" w:cs="Arial"/>
          <w:color w:val="000000" w:themeColor="text1"/>
          <w:lang w:eastAsia="en-US"/>
        </w:rPr>
        <w:t>5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B97600" w:rsidRPr="00837C97">
        <w:rPr>
          <w:rFonts w:ascii="Arial" w:eastAsiaTheme="minorHAnsi" w:hAnsi="Arial" w:cs="Arial"/>
          <w:color w:val="000000" w:themeColor="text1"/>
          <w:lang w:eastAsia="en-US"/>
        </w:rPr>
        <w:t>Patricia Mercado condicionó que “l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>a autonomía de la CNDH será tangible en la medida que se demuestren acciones para proteger y acompañar a víctimas</w:t>
      </w:r>
      <w:r w:rsidR="00B97600" w:rsidRPr="00837C9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B97600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Es decir, ignoró los datos que presentó </w:t>
      </w:r>
      <w:r w:rsidR="004B2A0B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la maestra </w:t>
      </w:r>
      <w:r w:rsidR="00E84135" w:rsidRPr="00837C97">
        <w:rPr>
          <w:rFonts w:ascii="Arial" w:eastAsiaTheme="minorHAnsi" w:hAnsi="Arial" w:cs="Arial"/>
          <w:color w:val="000000" w:themeColor="text1"/>
          <w:lang w:eastAsia="en-US"/>
        </w:rPr>
        <w:t>Ibarra</w:t>
      </w:r>
      <w:r w:rsidR="004B2A0B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B97600" w:rsidRPr="00837C97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demás de que </w:t>
      </w:r>
      <w:r w:rsidR="00B97600" w:rsidRPr="00837C97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>es cuestionable el actuar de la Comisión en torno a la militarización en el país</w:t>
      </w:r>
      <w:r w:rsidR="00B97600" w:rsidRPr="00837C9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B97600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A lo que la informante respondió con datos duros: 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>el período más crítico de quejas contra la actuación del Ejército es 2013 y 2020, años en los que se recibieron 4</w:t>
      </w:r>
      <w:r w:rsidR="00E84135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>613 quejas en la CNDH.</w:t>
      </w:r>
      <w:r w:rsidR="00B97600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Mientras que en el período 2013-2018, </w:t>
      </w:r>
      <w:r w:rsidR="00E84135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recibió 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>un total de 3</w:t>
      </w:r>
      <w:r w:rsidR="00E84135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>311, y de 2019 a 2021, las  quejas recibidas ascendieron a 1</w:t>
      </w:r>
      <w:r w:rsidR="00E84135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>277, mientras que en los tres primeros años del sexenio anterior fueron 2</w:t>
      </w:r>
      <w:r w:rsidR="00E84135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>075</w:t>
      </w:r>
      <w:r w:rsidR="00B97600" w:rsidRPr="00837C97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C92BA0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De 2018 a la fecha, las quejas contra el Ejército acusan una tendencia a la baja, con un promedio de 400 quejas por año y </w:t>
      </w:r>
      <w:r w:rsidR="00E84135" w:rsidRPr="00837C97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>si queremos que siga a la baja es mucho el trabajo que tenemos que hacer</w:t>
      </w:r>
      <w:r w:rsidR="00B97600" w:rsidRPr="00837C97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EC7880" w:rsidRPr="00837C97" w:rsidRDefault="00EC7880" w:rsidP="00925F6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37C97">
        <w:rPr>
          <w:rFonts w:ascii="Arial" w:eastAsiaTheme="minorHAnsi" w:hAnsi="Arial" w:cs="Arial"/>
          <w:color w:val="000000" w:themeColor="text1"/>
          <w:lang w:eastAsia="en-US"/>
        </w:rPr>
        <w:lastRenderedPageBreak/>
        <w:t>La Comisión, según Piedra Ibarra, “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nunca como ahora ha actuado con autonomía y en plenitud </w:t>
      </w:r>
      <w:r w:rsidR="00925F6A" w:rsidRPr="00837C97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37C97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sus 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>facultades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B97600" w:rsidRPr="007756BA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Y en lucha </w:t>
      </w:r>
      <w:r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contra inercias, un cúmulo de demandas generadas por omisiones del pasado, de muchos años, que no podemos negar, y también de rescoldos que persisten, que no vamos a ocultar. 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>En su visión</w:t>
      </w:r>
      <w:r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 la CNDH es parte de la transformación de este país.</w:t>
      </w:r>
    </w:p>
    <w:p w:rsidR="009F3A82" w:rsidRPr="007756BA" w:rsidRDefault="00C92BA0" w:rsidP="001B61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37C97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9F3A82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odo ello </w:t>
      </w:r>
      <w:r w:rsidR="009F3A82" w:rsidRPr="007756BA">
        <w:rPr>
          <w:rFonts w:ascii="Arial" w:eastAsiaTheme="minorHAnsi" w:hAnsi="Arial" w:cs="Arial"/>
          <w:color w:val="000000" w:themeColor="text1"/>
          <w:lang w:eastAsia="en-US"/>
        </w:rPr>
        <w:t>reorientando un costoso aparato a la construcción de una defensoría del pueblo más eficaz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9F3A82"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menos </w:t>
      </w:r>
      <w:r w:rsidR="001B6156">
        <w:rPr>
          <w:rFonts w:ascii="Arial" w:eastAsiaTheme="minorHAnsi" w:hAnsi="Arial" w:cs="Arial"/>
          <w:color w:val="000000" w:themeColor="text1"/>
          <w:lang w:eastAsia="en-US"/>
        </w:rPr>
        <w:t>cara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F3A82"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 como parte de los cambios para incidir en el acompañamiento de quienes se han visto vulnerados</w:t>
      </w:r>
      <w:r w:rsidR="009F3A82"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9F3A82"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eformas 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9F3A82" w:rsidRPr="007756BA">
        <w:rPr>
          <w:rFonts w:ascii="Arial" w:eastAsiaTheme="minorHAnsi" w:hAnsi="Arial" w:cs="Arial"/>
          <w:color w:val="000000" w:themeColor="text1"/>
          <w:lang w:eastAsia="en-US"/>
        </w:rPr>
        <w:t xml:space="preserve">permiten reducir los tiempos de atención de quejas y </w:t>
      </w:r>
      <w:r w:rsidRPr="00837C97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9F3A82" w:rsidRPr="007756BA">
        <w:rPr>
          <w:rFonts w:ascii="Arial" w:eastAsiaTheme="minorHAnsi" w:hAnsi="Arial" w:cs="Arial"/>
          <w:color w:val="000000" w:themeColor="text1"/>
          <w:lang w:eastAsia="en-US"/>
        </w:rPr>
        <w:t>conclusión de expedientes</w:t>
      </w:r>
      <w:bookmarkStart w:id="0" w:name="_GoBack"/>
      <w:bookmarkEnd w:id="0"/>
      <w:r w:rsidR="00D30357" w:rsidRPr="00837C9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C6D92" w:rsidRPr="00837C97" w:rsidRDefault="000C6D92" w:rsidP="000C6D92">
      <w:pPr>
        <w:jc w:val="center"/>
        <w:rPr>
          <w:rFonts w:ascii="Arial" w:hAnsi="Arial" w:cs="Arial"/>
          <w:b/>
          <w:color w:val="000000" w:themeColor="text1"/>
        </w:rPr>
      </w:pPr>
      <w:r w:rsidRPr="00837C97">
        <w:rPr>
          <w:rFonts w:ascii="Arial" w:hAnsi="Arial" w:cs="Arial"/>
          <w:b/>
          <w:color w:val="000000" w:themeColor="text1"/>
        </w:rPr>
        <w:t>Acuse de recibo</w:t>
      </w:r>
    </w:p>
    <w:p w:rsidR="000C6D92" w:rsidRPr="00837C97" w:rsidRDefault="000C6D92" w:rsidP="000C6D92">
      <w:pPr>
        <w:jc w:val="both"/>
        <w:rPr>
          <w:rFonts w:ascii="Arial" w:hAnsi="Arial" w:cs="Arial"/>
          <w:color w:val="000000" w:themeColor="text1"/>
        </w:rPr>
      </w:pPr>
      <w:r w:rsidRPr="00837C97">
        <w:rPr>
          <w:rFonts w:ascii="Arial" w:hAnsi="Arial" w:cs="Arial"/>
          <w:color w:val="000000" w:themeColor="text1"/>
        </w:rPr>
        <w:t>El periodista Arturo Sandoval justifica a Carmen Aristegui: “Pues yo pienso igual que Aristegui, ni modo qué AMLO impulse la unidad política cuando pertenece a una corriente específica de la izquierda. No sé de países donde no haya más de dos polos o corrientes políticas. No estoy de acuerdo que Carmen se incorpore a coro alguno. Yo la oigo diario y a veces no concuerdo con ella, pero en general su periodismo e investigaciones son buenas”… En tanto que el presidente Andrés Manuel la evidenció por “tergiversar” sus declaraciones del m</w:t>
      </w:r>
      <w:r w:rsidR="00837C97" w:rsidRPr="00837C97">
        <w:rPr>
          <w:rFonts w:ascii="Arial" w:hAnsi="Arial" w:cs="Arial"/>
          <w:color w:val="000000" w:themeColor="text1"/>
        </w:rPr>
        <w:t>artes</w:t>
      </w:r>
      <w:r w:rsidRPr="00837C97">
        <w:rPr>
          <w:rFonts w:ascii="Arial" w:hAnsi="Arial" w:cs="Arial"/>
          <w:color w:val="000000" w:themeColor="text1"/>
        </w:rPr>
        <w:t xml:space="preserve"> 2</w:t>
      </w:r>
      <w:r w:rsidR="00837C97" w:rsidRPr="00837C97">
        <w:rPr>
          <w:rFonts w:ascii="Arial" w:hAnsi="Arial" w:cs="Arial"/>
          <w:color w:val="000000" w:themeColor="text1"/>
        </w:rPr>
        <w:t>5</w:t>
      </w:r>
      <w:r w:rsidRPr="00837C97">
        <w:rPr>
          <w:rFonts w:ascii="Arial" w:hAnsi="Arial" w:cs="Arial"/>
          <w:color w:val="000000" w:themeColor="text1"/>
        </w:rPr>
        <w:t xml:space="preserve"> sobre el cambio de mando en el Tren Maya… La exitosa empresaria y periodista no puede superar el deslinde que hizo Obrador al no considerarla parte de la </w:t>
      </w:r>
      <w:r w:rsidR="006E2944" w:rsidRPr="00837C97">
        <w:rPr>
          <w:rFonts w:ascii="Arial" w:hAnsi="Arial" w:cs="Arial"/>
          <w:color w:val="000000" w:themeColor="text1"/>
        </w:rPr>
        <w:t>4T</w:t>
      </w:r>
      <w:r w:rsidRPr="00837C97">
        <w:rPr>
          <w:rFonts w:ascii="Arial" w:hAnsi="Arial" w:cs="Arial"/>
          <w:color w:val="000000" w:themeColor="text1"/>
        </w:rPr>
        <w:t xml:space="preserve">… “Mi querido amigo Eduardo, mil gracias por publicar la nota sobre  </w:t>
      </w:r>
      <w:proofErr w:type="spellStart"/>
      <w:r w:rsidRPr="00837C97">
        <w:rPr>
          <w:rFonts w:ascii="Arial" w:hAnsi="Arial" w:cs="Arial"/>
          <w:color w:val="000000" w:themeColor="text1"/>
        </w:rPr>
        <w:t>Estonian</w:t>
      </w:r>
      <w:proofErr w:type="spellEnd"/>
      <w:r w:rsidRPr="00837C97">
        <w:rPr>
          <w:rFonts w:ascii="Arial" w:hAnsi="Arial" w:cs="Arial"/>
          <w:color w:val="000000" w:themeColor="text1"/>
        </w:rPr>
        <w:t xml:space="preserve"> Air, otra de las fechorías de la delincuencia neoliberal de cuello blanco internacional. La secuencia del modelo: corrupción-privatización-rescate-quiebra-jugosas ganancias para la élite en el poder neoliberal, al igual que los virus letales puede tener sus variantes y algunos de sus términos pueden invertirse, por ejemplo, el rescate en lugar de anteceder a la quiebra, puede ser ejercido por el gobierno posteriormente a ella. Sin embargo, dos términos que siempre estarán presentes son: corrupción y ganancias para la élite”. La opinión es del doctor Víctor Ramos.</w:t>
      </w:r>
    </w:p>
    <w:p w:rsidR="006B2C5C" w:rsidRPr="00837C97" w:rsidRDefault="001B6156" w:rsidP="000C6D9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4" w:history="1">
        <w:r w:rsidR="000C6D92" w:rsidRPr="00837C97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0C6D92" w:rsidRPr="00837C9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0C6D92" w:rsidRPr="00837C9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C6D92" w:rsidRPr="00837C9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0C6D92" w:rsidRPr="00837C97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0C6D92" w:rsidRPr="00837C9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0C6D92" w:rsidRPr="00837C97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6B2C5C" w:rsidRPr="00837C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D92"/>
    <w:rsid w:val="000B4E90"/>
    <w:rsid w:val="000C6D92"/>
    <w:rsid w:val="001B6156"/>
    <w:rsid w:val="002219B2"/>
    <w:rsid w:val="00274CF5"/>
    <w:rsid w:val="004B2A0B"/>
    <w:rsid w:val="006B2C5C"/>
    <w:rsid w:val="006E2944"/>
    <w:rsid w:val="007756BA"/>
    <w:rsid w:val="007A00E3"/>
    <w:rsid w:val="00837C97"/>
    <w:rsid w:val="00925F6A"/>
    <w:rsid w:val="00943B2D"/>
    <w:rsid w:val="009F3A82"/>
    <w:rsid w:val="00AA23D1"/>
    <w:rsid w:val="00B93AEF"/>
    <w:rsid w:val="00B97600"/>
    <w:rsid w:val="00C92BA0"/>
    <w:rsid w:val="00D30357"/>
    <w:rsid w:val="00E84135"/>
    <w:rsid w:val="00EC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64FC64-46CB-4C10-B239-A834A164D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D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832</Words>
  <Characters>4275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2022-01-27T15:18:00Z</dcterms:created>
  <dcterms:modified xsi:type="dcterms:W3CDTF">2022-01-30T20:57:00Z</dcterms:modified>
</cp:coreProperties>
</file>